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02F182">
      <w:pPr>
        <w:pStyle w:val="4"/>
        <w:numPr>
          <w:ilvl w:val="0"/>
          <w:numId w:val="3"/>
        </w:numPr>
        <w:spacing w:line="360" w:lineRule="auto"/>
        <w:ind w:firstLine="0"/>
        <w:jc w:val="center"/>
        <w:rPr>
          <w:rFonts w:ascii="宋体" w:hAnsi="宋体" w:eastAsia="宋体" w:cs="宋体"/>
          <w:color w:val="auto"/>
          <w:szCs w:val="32"/>
          <w:highlight w:val="none"/>
        </w:rPr>
      </w:pPr>
      <w:r>
        <w:rPr>
          <w:rFonts w:hint="eastAsia" w:ascii="宋体" w:hAnsi="宋体" w:eastAsia="宋体" w:cs="宋体"/>
          <w:color w:val="auto"/>
          <w:szCs w:val="32"/>
          <w:highlight w:val="none"/>
        </w:rPr>
        <w:t>项目需求书</w:t>
      </w:r>
    </w:p>
    <w:p w14:paraId="78C83699">
      <w:pPr>
        <w:numPr>
          <w:ilvl w:val="0"/>
          <w:numId w:val="4"/>
        </w:numPr>
        <w:spacing w:line="360" w:lineRule="auto"/>
        <w:jc w:val="left"/>
        <w:outlineLvl w:val="2"/>
        <w:rPr>
          <w:rFonts w:hint="eastAsia" w:ascii="Times" w:hAnsi="Times" w:eastAsia="宋体" w:cs="Times New Roman"/>
          <w:b/>
          <w:color w:val="auto"/>
          <w:szCs w:val="21"/>
          <w:highlight w:val="none"/>
          <w:lang w:val="zh-CN"/>
        </w:rPr>
      </w:pPr>
      <w:r>
        <w:rPr>
          <w:rFonts w:hint="eastAsia" w:ascii="Times" w:hAnsi="Times" w:eastAsia="宋体" w:cs="Times New Roman"/>
          <w:b/>
          <w:color w:val="auto"/>
          <w:szCs w:val="21"/>
          <w:highlight w:val="none"/>
          <w:lang w:val="zh-CN"/>
        </w:rPr>
        <w:t>项目概况</w:t>
      </w:r>
    </w:p>
    <w:p w14:paraId="4B31827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eastAsia="宋体"/>
          <w:color w:val="auto"/>
          <w:szCs w:val="21"/>
          <w:highlight w:val="none"/>
          <w:lang w:eastAsia="zh-CN"/>
        </w:rPr>
      </w:pPr>
      <w:r>
        <w:rPr>
          <w:rFonts w:hint="eastAsia"/>
          <w:color w:val="auto"/>
          <w:szCs w:val="21"/>
          <w:highlight w:val="none"/>
        </w:rPr>
        <w:t>（一）项目名称：</w:t>
      </w:r>
      <w:r>
        <w:rPr>
          <w:rFonts w:hint="eastAsia" w:cs="宋体"/>
          <w:color w:val="auto"/>
          <w:szCs w:val="21"/>
          <w:highlight w:val="none"/>
          <w:u w:val="none"/>
          <w:lang w:val="en-US" w:eastAsia="zh-CN"/>
        </w:rPr>
        <w:t>潜水搅拌器和水泵设备</w:t>
      </w:r>
      <w:r>
        <w:rPr>
          <w:rFonts w:hint="eastAsia" w:cs="宋体"/>
          <w:color w:val="auto"/>
          <w:sz w:val="21"/>
          <w:szCs w:val="21"/>
          <w:highlight w:val="none"/>
          <w:u w:val="none"/>
          <w:lang w:val="en-US" w:eastAsia="zh-CN"/>
        </w:rPr>
        <w:t>预</w:t>
      </w:r>
      <w:r>
        <w:rPr>
          <w:rFonts w:hint="eastAsia" w:cs="宋体"/>
          <w:color w:val="auto"/>
          <w:szCs w:val="21"/>
          <w:highlight w:val="none"/>
          <w:u w:val="none"/>
          <w:lang w:eastAsia="zh-CN"/>
        </w:rPr>
        <w:t>采购项目</w:t>
      </w:r>
    </w:p>
    <w:p w14:paraId="2DA7E1C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（二）采购范围：</w:t>
      </w:r>
    </w:p>
    <w:p w14:paraId="29B956C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rPr>
        <w:t>本项目为</w:t>
      </w:r>
      <w:r>
        <w:rPr>
          <w:rFonts w:hint="eastAsia" w:ascii="宋体" w:hAnsi="宋体" w:eastAsia="宋体" w:cs="Times New Roman"/>
          <w:color w:val="auto"/>
          <w:szCs w:val="21"/>
          <w:highlight w:val="none"/>
          <w:u w:val="none"/>
          <w:lang w:val="en-US" w:eastAsia="zh-CN"/>
        </w:rPr>
        <w:t>潜水搅拌器和水泵设备</w:t>
      </w:r>
      <w:r>
        <w:rPr>
          <w:rFonts w:hint="eastAsia" w:ascii="宋体" w:hAnsi="宋体" w:eastAsia="宋体" w:cs="Times New Roman"/>
          <w:color w:val="auto"/>
          <w:szCs w:val="21"/>
          <w:highlight w:val="none"/>
        </w:rPr>
        <w:t>采购，设备</w:t>
      </w:r>
      <w:r>
        <w:rPr>
          <w:rFonts w:hint="eastAsia" w:ascii="宋体" w:hAnsi="宋体" w:eastAsia="宋体" w:cs="Times New Roman"/>
          <w:color w:val="auto"/>
          <w:szCs w:val="21"/>
          <w:highlight w:val="none"/>
          <w:lang w:val="en-US" w:eastAsia="zh-CN"/>
        </w:rPr>
        <w:t>及安装紧固件的</w:t>
      </w:r>
      <w:r>
        <w:rPr>
          <w:rFonts w:hint="eastAsia" w:ascii="宋体" w:hAnsi="宋体" w:eastAsia="宋体" w:cs="Times New Roman"/>
          <w:color w:val="auto"/>
          <w:szCs w:val="21"/>
          <w:highlight w:val="none"/>
        </w:rPr>
        <w:t>供货、</w:t>
      </w:r>
      <w:r>
        <w:rPr>
          <w:rFonts w:hint="eastAsia" w:ascii="宋体" w:hAnsi="宋体" w:eastAsia="宋体" w:cs="Times New Roman"/>
          <w:color w:val="auto"/>
          <w:szCs w:val="21"/>
          <w:highlight w:val="none"/>
          <w:lang w:val="en-US" w:eastAsia="zh-CN"/>
        </w:rPr>
        <w:t>运输到项目现场</w:t>
      </w:r>
      <w:r>
        <w:rPr>
          <w:rFonts w:hint="eastAsia" w:ascii="宋体" w:hAnsi="宋体" w:eastAsia="宋体" w:cs="Times New Roman"/>
          <w:color w:val="auto"/>
          <w:szCs w:val="21"/>
          <w:highlight w:val="none"/>
          <w:lang w:val="en-US" w:eastAsia="zh-CN"/>
        </w:rPr>
        <w:t>（不含卸货和二次搬运）</w:t>
      </w:r>
      <w:r>
        <w:rPr>
          <w:rFonts w:hint="eastAsia" w:ascii="宋体" w:hAnsi="宋体" w:eastAsia="宋体" w:cs="Times New Roman"/>
          <w:color w:val="auto"/>
          <w:szCs w:val="21"/>
          <w:highlight w:val="none"/>
          <w:lang w:val="en-US" w:eastAsia="zh-CN"/>
        </w:rPr>
        <w:t>、</w:t>
      </w:r>
      <w:r>
        <w:rPr>
          <w:rFonts w:hint="eastAsia" w:ascii="宋体" w:hAnsi="宋体" w:eastAsia="宋体" w:cs="Times New Roman"/>
          <w:color w:val="auto"/>
          <w:szCs w:val="21"/>
          <w:highlight w:val="none"/>
        </w:rPr>
        <w:t>设备指导安装、设备指导调试、系统试运行、操作培训及相关技术服务，保证</w:t>
      </w:r>
      <w:r>
        <w:rPr>
          <w:rFonts w:hint="eastAsia" w:ascii="宋体" w:hAnsi="宋体" w:eastAsia="宋体" w:cs="Times New Roman"/>
          <w:color w:val="auto"/>
          <w:szCs w:val="21"/>
          <w:highlight w:val="none"/>
          <w:lang w:val="en-US" w:eastAsia="zh-CN"/>
        </w:rPr>
        <w:t>设备</w:t>
      </w:r>
      <w:r>
        <w:rPr>
          <w:rFonts w:hint="eastAsia" w:ascii="宋体" w:hAnsi="宋体" w:eastAsia="宋体" w:cs="Times New Roman"/>
          <w:color w:val="auto"/>
          <w:szCs w:val="21"/>
          <w:highlight w:val="none"/>
        </w:rPr>
        <w:t>达到功能要求</w:t>
      </w:r>
      <w:r>
        <w:rPr>
          <w:rFonts w:hint="eastAsia" w:ascii="宋体" w:hAnsi="宋体" w:eastAsia="宋体" w:cs="Times New Roman"/>
          <w:color w:val="auto"/>
          <w:szCs w:val="21"/>
          <w:highlight w:val="none"/>
          <w:lang w:eastAsia="zh-CN"/>
        </w:rPr>
        <w:t>。</w:t>
      </w:r>
    </w:p>
    <w:p w14:paraId="0D91166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（三）货物清单：</w:t>
      </w:r>
    </w:p>
    <w:p w14:paraId="4444DBD5">
      <w:pPr>
        <w:keepNext/>
        <w:keepLines/>
        <w:spacing w:before="0" w:line="377" w:lineRule="auto"/>
        <w:jc w:val="left"/>
        <w:outlineLvl w:val="4"/>
        <w:rPr>
          <w:rFonts w:ascii="黑体" w:hAnsi="黑体" w:eastAsia="黑体" w:cs="黑体"/>
          <w:color w:val="auto"/>
          <w:sz w:val="21"/>
          <w:szCs w:val="21"/>
          <w:highlight w:val="none"/>
        </w:rPr>
      </w:pPr>
      <w:r>
        <w:rPr>
          <w:rFonts w:hint="eastAsia" w:ascii="黑体" w:hAnsi="黑体" w:eastAsia="黑体" w:cs="黑体"/>
          <w:color w:val="auto"/>
          <w:sz w:val="21"/>
          <w:szCs w:val="21"/>
          <w:highlight w:val="none"/>
          <w:lang w:val="en-US" w:eastAsia="zh-CN"/>
        </w:rPr>
        <w:t>1</w:t>
      </w:r>
      <w:r>
        <w:rPr>
          <w:rFonts w:hint="eastAsia" w:ascii="黑体" w:hAnsi="黑体" w:eastAsia="黑体" w:cs="黑体"/>
          <w:color w:val="auto"/>
          <w:sz w:val="21"/>
          <w:szCs w:val="21"/>
          <w:highlight w:val="none"/>
        </w:rPr>
        <w:t>.</w:t>
      </w:r>
      <w:r>
        <w:rPr>
          <w:rFonts w:ascii="黑体" w:hAnsi="黑体" w:eastAsia="黑体" w:cs="黑体"/>
          <w:color w:val="auto"/>
          <w:sz w:val="21"/>
          <w:szCs w:val="21"/>
          <w:highlight w:val="none"/>
        </w:rPr>
        <w:t>潜水搅拌机设备清单</w:t>
      </w:r>
    </w:p>
    <w:tbl>
      <w:tblPr>
        <w:tblStyle w:val="68"/>
        <w:tblW w:w="481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1305"/>
        <w:gridCol w:w="1250"/>
        <w:gridCol w:w="2218"/>
        <w:gridCol w:w="730"/>
        <w:gridCol w:w="741"/>
        <w:gridCol w:w="1893"/>
      </w:tblGrid>
      <w:tr w14:paraId="1CDFA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815" w:type="dxa"/>
            <w:vAlign w:val="center"/>
          </w:tcPr>
          <w:p w14:paraId="3A742242">
            <w:pPr>
              <w:widowControl/>
              <w:snapToGrid w:val="0"/>
              <w:jc w:val="center"/>
              <w:rPr>
                <w:rFonts w:ascii="Calibri" w:hAnsi="Calibri" w:cs="宋体"/>
                <w:b/>
                <w:color w:val="auto"/>
                <w:kern w:val="0"/>
                <w:sz w:val="21"/>
                <w:szCs w:val="21"/>
                <w:highlight w:val="none"/>
              </w:rPr>
            </w:pPr>
            <w:r>
              <w:rPr>
                <w:rFonts w:hint="eastAsia" w:ascii="Calibri" w:hAnsi="Calibri" w:cs="宋体"/>
                <w:b/>
                <w:color w:val="auto"/>
                <w:kern w:val="0"/>
                <w:sz w:val="21"/>
                <w:szCs w:val="21"/>
                <w:highlight w:val="none"/>
              </w:rPr>
              <w:t>序号</w:t>
            </w:r>
          </w:p>
        </w:tc>
        <w:tc>
          <w:tcPr>
            <w:tcW w:w="1305" w:type="dxa"/>
            <w:vAlign w:val="center"/>
          </w:tcPr>
          <w:p w14:paraId="5010F5AC">
            <w:pPr>
              <w:widowControl/>
              <w:snapToGrid w:val="0"/>
              <w:jc w:val="center"/>
              <w:rPr>
                <w:rFonts w:ascii="Calibri" w:hAnsi="Calibri" w:cs="宋体"/>
                <w:b/>
                <w:color w:val="auto"/>
                <w:kern w:val="0"/>
                <w:sz w:val="21"/>
                <w:szCs w:val="21"/>
                <w:highlight w:val="none"/>
              </w:rPr>
            </w:pPr>
            <w:r>
              <w:rPr>
                <w:rFonts w:hint="eastAsia" w:ascii="Calibri" w:hAnsi="Calibri" w:cs="宋体"/>
                <w:b/>
                <w:color w:val="auto"/>
                <w:kern w:val="0"/>
                <w:sz w:val="21"/>
                <w:szCs w:val="21"/>
                <w:highlight w:val="none"/>
              </w:rPr>
              <w:t>处于位置</w:t>
            </w:r>
          </w:p>
        </w:tc>
        <w:tc>
          <w:tcPr>
            <w:tcW w:w="1250" w:type="dxa"/>
            <w:vAlign w:val="center"/>
          </w:tcPr>
          <w:p w14:paraId="045F1096">
            <w:pPr>
              <w:widowControl/>
              <w:snapToGrid w:val="0"/>
              <w:jc w:val="center"/>
              <w:rPr>
                <w:rFonts w:ascii="Calibri" w:hAnsi="Calibri" w:cs="宋体"/>
                <w:b/>
                <w:color w:val="auto"/>
                <w:kern w:val="0"/>
                <w:sz w:val="21"/>
                <w:szCs w:val="21"/>
                <w:highlight w:val="none"/>
              </w:rPr>
            </w:pPr>
            <w:r>
              <w:rPr>
                <w:rFonts w:hint="eastAsia" w:ascii="Calibri" w:hAnsi="Calibri" w:cs="宋体"/>
                <w:b/>
                <w:color w:val="auto"/>
                <w:kern w:val="0"/>
                <w:sz w:val="21"/>
                <w:szCs w:val="21"/>
                <w:highlight w:val="none"/>
              </w:rPr>
              <w:t>类型</w:t>
            </w:r>
          </w:p>
        </w:tc>
        <w:tc>
          <w:tcPr>
            <w:tcW w:w="2218" w:type="dxa"/>
            <w:vAlign w:val="center"/>
          </w:tcPr>
          <w:p w14:paraId="757D8609">
            <w:pPr>
              <w:widowControl/>
              <w:snapToGrid w:val="0"/>
              <w:jc w:val="center"/>
              <w:rPr>
                <w:rFonts w:ascii="Calibri" w:hAnsi="Calibri" w:cs="宋体"/>
                <w:b/>
                <w:color w:val="auto"/>
                <w:kern w:val="0"/>
                <w:sz w:val="21"/>
                <w:szCs w:val="21"/>
                <w:highlight w:val="none"/>
              </w:rPr>
            </w:pPr>
            <w:r>
              <w:rPr>
                <w:rFonts w:ascii="Calibri" w:hAnsi="Calibri" w:cs="宋体"/>
                <w:b/>
                <w:color w:val="auto"/>
                <w:kern w:val="0"/>
                <w:sz w:val="21"/>
                <w:szCs w:val="21"/>
                <w:highlight w:val="none"/>
              </w:rPr>
              <w:t>规格</w:t>
            </w:r>
          </w:p>
        </w:tc>
        <w:tc>
          <w:tcPr>
            <w:tcW w:w="730" w:type="dxa"/>
            <w:vAlign w:val="center"/>
          </w:tcPr>
          <w:p w14:paraId="08DFC840">
            <w:pPr>
              <w:widowControl/>
              <w:snapToGrid w:val="0"/>
              <w:jc w:val="center"/>
              <w:rPr>
                <w:rFonts w:ascii="Calibri" w:hAnsi="Calibri" w:cs="宋体"/>
                <w:b/>
                <w:color w:val="auto"/>
                <w:kern w:val="0"/>
                <w:sz w:val="21"/>
                <w:szCs w:val="21"/>
                <w:highlight w:val="none"/>
              </w:rPr>
            </w:pPr>
            <w:r>
              <w:rPr>
                <w:rFonts w:hint="eastAsia" w:ascii="Calibri" w:hAnsi="Calibri" w:cs="宋体"/>
                <w:b/>
                <w:color w:val="auto"/>
                <w:kern w:val="0"/>
                <w:sz w:val="21"/>
                <w:szCs w:val="21"/>
                <w:highlight w:val="none"/>
              </w:rPr>
              <w:t>单位</w:t>
            </w:r>
          </w:p>
        </w:tc>
        <w:tc>
          <w:tcPr>
            <w:tcW w:w="741" w:type="dxa"/>
            <w:vAlign w:val="center"/>
          </w:tcPr>
          <w:p w14:paraId="765EDE20">
            <w:pPr>
              <w:widowControl/>
              <w:snapToGrid w:val="0"/>
              <w:jc w:val="center"/>
              <w:rPr>
                <w:rFonts w:ascii="Calibri" w:hAnsi="Calibri" w:cs="宋体"/>
                <w:b/>
                <w:color w:val="auto"/>
                <w:kern w:val="0"/>
                <w:sz w:val="21"/>
                <w:szCs w:val="21"/>
                <w:highlight w:val="none"/>
              </w:rPr>
            </w:pPr>
            <w:r>
              <w:rPr>
                <w:rFonts w:hint="eastAsia" w:ascii="Calibri" w:hAnsi="Calibri" w:cs="宋体"/>
                <w:b/>
                <w:color w:val="auto"/>
                <w:kern w:val="0"/>
                <w:sz w:val="21"/>
                <w:szCs w:val="21"/>
                <w:highlight w:val="none"/>
              </w:rPr>
              <w:t>数量</w:t>
            </w:r>
          </w:p>
        </w:tc>
        <w:tc>
          <w:tcPr>
            <w:tcW w:w="1893" w:type="dxa"/>
            <w:vAlign w:val="center"/>
          </w:tcPr>
          <w:p w14:paraId="599EC2B0">
            <w:pPr>
              <w:widowControl/>
              <w:snapToGrid w:val="0"/>
              <w:jc w:val="center"/>
              <w:rPr>
                <w:rFonts w:ascii="Calibri" w:hAnsi="Calibri" w:cs="宋体"/>
                <w:b/>
                <w:color w:val="auto"/>
                <w:kern w:val="0"/>
                <w:sz w:val="21"/>
                <w:szCs w:val="21"/>
                <w:highlight w:val="none"/>
              </w:rPr>
            </w:pPr>
            <w:r>
              <w:rPr>
                <w:rFonts w:hint="eastAsia" w:ascii="Calibri" w:hAnsi="Calibri" w:cs="宋体"/>
                <w:b/>
                <w:color w:val="auto"/>
                <w:kern w:val="0"/>
                <w:sz w:val="21"/>
                <w:szCs w:val="21"/>
                <w:highlight w:val="none"/>
              </w:rPr>
              <w:t>品牌库</w:t>
            </w:r>
          </w:p>
        </w:tc>
      </w:tr>
      <w:tr w14:paraId="6DD2C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3" w:hRule="atLeast"/>
          <w:jc w:val="center"/>
        </w:trPr>
        <w:tc>
          <w:tcPr>
            <w:tcW w:w="815" w:type="dxa"/>
            <w:vAlign w:val="center"/>
          </w:tcPr>
          <w:p w14:paraId="05389374">
            <w:pPr>
              <w:keepNext w:val="0"/>
              <w:keepLines w:val="0"/>
              <w:widowControl/>
              <w:suppressLineNumbers w:val="0"/>
              <w:jc w:val="center"/>
              <w:textAlignment w:val="center"/>
              <w:rPr>
                <w:rFonts w:ascii="Calibri" w:hAnsi="Calibri"/>
                <w:color w:val="auto"/>
                <w:kern w:val="0"/>
                <w:sz w:val="21"/>
                <w:szCs w:val="21"/>
                <w:highlight w:val="none"/>
              </w:rPr>
            </w:pPr>
            <w:r>
              <w:rPr>
                <w:rFonts w:hint="eastAsia" w:cs="Times New Roman"/>
                <w:i w:val="0"/>
                <w:iCs w:val="0"/>
                <w:color w:val="auto"/>
                <w:kern w:val="0"/>
                <w:sz w:val="21"/>
                <w:szCs w:val="21"/>
                <w:highlight w:val="none"/>
                <w:u w:val="none"/>
                <w:lang w:val="en-US" w:eastAsia="zh-CN" w:bidi="ar"/>
              </w:rPr>
              <w:t>1</w:t>
            </w:r>
          </w:p>
        </w:tc>
        <w:tc>
          <w:tcPr>
            <w:tcW w:w="1305" w:type="dxa"/>
            <w:vMerge w:val="restart"/>
            <w:vAlign w:val="center"/>
          </w:tcPr>
          <w:p w14:paraId="241025C5">
            <w:pPr>
              <w:keepNext w:val="0"/>
              <w:keepLines w:val="0"/>
              <w:widowControl/>
              <w:suppressLineNumbers w:val="0"/>
              <w:jc w:val="center"/>
              <w:textAlignment w:val="center"/>
              <w:rPr>
                <w:rFonts w:ascii="Calibri" w:hAnsi="Calibri" w:cs="宋体"/>
                <w:color w:val="auto"/>
                <w:kern w:val="0"/>
                <w:sz w:val="21"/>
                <w:szCs w:val="21"/>
                <w:highlight w:val="none"/>
              </w:rPr>
            </w:pPr>
            <w:r>
              <w:rPr>
                <w:rStyle w:val="65"/>
                <w:color w:val="auto"/>
                <w:sz w:val="21"/>
                <w:szCs w:val="21"/>
                <w:highlight w:val="none"/>
                <w:lang w:val="en-US" w:eastAsia="zh-CN" w:bidi="ar"/>
              </w:rPr>
              <w:t>淡水</w:t>
            </w:r>
            <w:r>
              <w:rPr>
                <w:rStyle w:val="66"/>
                <w:rFonts w:eastAsia="宋体"/>
                <w:color w:val="auto"/>
                <w:sz w:val="21"/>
                <w:szCs w:val="21"/>
                <w:highlight w:val="none"/>
                <w:lang w:val="en-US" w:eastAsia="zh-CN" w:bidi="ar"/>
              </w:rPr>
              <w:br w:type="textWrapping"/>
            </w:r>
            <w:r>
              <w:rPr>
                <w:rStyle w:val="66"/>
                <w:rFonts w:eastAsia="宋体"/>
                <w:color w:val="auto"/>
                <w:sz w:val="21"/>
                <w:szCs w:val="21"/>
                <w:highlight w:val="none"/>
                <w:lang w:val="en-US" w:eastAsia="zh-CN" w:bidi="ar"/>
              </w:rPr>
              <w:t>MBR</w:t>
            </w:r>
            <w:r>
              <w:rPr>
                <w:rStyle w:val="65"/>
                <w:color w:val="auto"/>
                <w:sz w:val="21"/>
                <w:szCs w:val="21"/>
                <w:highlight w:val="none"/>
                <w:lang w:val="en-US" w:eastAsia="zh-CN" w:bidi="ar"/>
              </w:rPr>
              <w:t>生化池</w:t>
            </w:r>
          </w:p>
        </w:tc>
        <w:tc>
          <w:tcPr>
            <w:tcW w:w="1250" w:type="dxa"/>
            <w:vMerge w:val="restart"/>
            <w:vAlign w:val="center"/>
          </w:tcPr>
          <w:p w14:paraId="10E35A03">
            <w:pPr>
              <w:keepNext w:val="0"/>
              <w:keepLines w:val="0"/>
              <w:widowControl/>
              <w:suppressLineNumbers w:val="0"/>
              <w:jc w:val="center"/>
              <w:textAlignment w:val="center"/>
              <w:rPr>
                <w:rFonts w:ascii="Calibri" w:hAnsi="Calibri"/>
                <w:color w:val="auto"/>
                <w:kern w:val="0"/>
                <w:sz w:val="21"/>
                <w:szCs w:val="21"/>
                <w:highlight w:val="none"/>
              </w:rPr>
            </w:pPr>
            <w:r>
              <w:rPr>
                <w:rStyle w:val="65"/>
                <w:color w:val="auto"/>
                <w:sz w:val="21"/>
                <w:szCs w:val="21"/>
                <w:highlight w:val="none"/>
                <w:lang w:val="en-US" w:eastAsia="zh-CN" w:bidi="ar"/>
              </w:rPr>
              <w:t>缺氧池潜水搅拌机</w:t>
            </w:r>
          </w:p>
        </w:tc>
        <w:tc>
          <w:tcPr>
            <w:tcW w:w="2218" w:type="dxa"/>
            <w:vAlign w:val="center"/>
          </w:tcPr>
          <w:p w14:paraId="6C22EB0C">
            <w:pPr>
              <w:keepNext w:val="0"/>
              <w:keepLines w:val="0"/>
              <w:widowControl/>
              <w:suppressLineNumbers w:val="0"/>
              <w:jc w:val="center"/>
              <w:textAlignment w:val="center"/>
              <w:rPr>
                <w:rStyle w:val="65"/>
                <w:color w:val="auto"/>
                <w:sz w:val="21"/>
                <w:szCs w:val="21"/>
                <w:highlight w:val="none"/>
                <w:lang w:val="en-US" w:eastAsia="zh-CN" w:bidi="ar"/>
              </w:rPr>
            </w:pPr>
            <w:r>
              <w:rPr>
                <w:rStyle w:val="66"/>
                <w:rFonts w:eastAsia="微软雅黑"/>
                <w:color w:val="auto"/>
                <w:sz w:val="21"/>
                <w:szCs w:val="21"/>
                <w:highlight w:val="none"/>
                <w:lang w:val="en-US" w:eastAsia="zh-CN" w:bidi="ar"/>
              </w:rPr>
              <w:t>φ580</w:t>
            </w:r>
            <w:r>
              <w:rPr>
                <w:rStyle w:val="66"/>
                <w:rFonts w:hint="eastAsia" w:eastAsia="微软雅黑"/>
                <w:color w:val="auto"/>
                <w:sz w:val="21"/>
                <w:szCs w:val="21"/>
                <w:highlight w:val="none"/>
                <w:lang w:val="en-US" w:eastAsia="zh-CN" w:bidi="ar"/>
              </w:rPr>
              <w:t>mm</w:t>
            </w:r>
            <w:r>
              <w:rPr>
                <w:rStyle w:val="65"/>
                <w:color w:val="auto"/>
                <w:sz w:val="21"/>
                <w:szCs w:val="21"/>
                <w:highlight w:val="none"/>
                <w:lang w:val="en-US" w:eastAsia="zh-CN" w:bidi="ar"/>
              </w:rPr>
              <w:t>，</w:t>
            </w:r>
          </w:p>
          <w:p w14:paraId="35AAFAFC">
            <w:pPr>
              <w:keepNext w:val="0"/>
              <w:keepLines w:val="0"/>
              <w:widowControl/>
              <w:suppressLineNumbers w:val="0"/>
              <w:jc w:val="center"/>
              <w:textAlignment w:val="center"/>
              <w:rPr>
                <w:rFonts w:ascii="Calibri" w:hAnsi="Calibri"/>
                <w:color w:val="auto"/>
                <w:kern w:val="0"/>
                <w:sz w:val="21"/>
                <w:szCs w:val="21"/>
                <w:highlight w:val="none"/>
              </w:rPr>
            </w:pPr>
            <w:r>
              <w:rPr>
                <w:rStyle w:val="65"/>
                <w:color w:val="auto"/>
                <w:sz w:val="21"/>
                <w:szCs w:val="21"/>
                <w:highlight w:val="none"/>
                <w:lang w:val="en-US" w:eastAsia="zh-CN" w:bidi="ar"/>
              </w:rPr>
              <w:t>推力</w:t>
            </w:r>
            <w:r>
              <w:rPr>
                <w:rStyle w:val="66"/>
                <w:rFonts w:eastAsia="微软雅黑"/>
                <w:color w:val="auto"/>
                <w:sz w:val="21"/>
                <w:szCs w:val="21"/>
                <w:highlight w:val="none"/>
                <w:lang w:val="en-US" w:eastAsia="zh-CN" w:bidi="ar"/>
              </w:rPr>
              <w:t>983N</w:t>
            </w:r>
            <w:r>
              <w:rPr>
                <w:rStyle w:val="65"/>
                <w:color w:val="auto"/>
                <w:sz w:val="21"/>
                <w:szCs w:val="21"/>
                <w:highlight w:val="none"/>
                <w:lang w:val="en-US" w:eastAsia="zh-CN" w:bidi="ar"/>
              </w:rPr>
              <w:t>，</w:t>
            </w:r>
            <w:r>
              <w:rPr>
                <w:rStyle w:val="66"/>
                <w:rFonts w:eastAsia="微软雅黑"/>
                <w:color w:val="auto"/>
                <w:sz w:val="21"/>
                <w:szCs w:val="21"/>
                <w:highlight w:val="none"/>
                <w:lang w:val="en-US" w:eastAsia="zh-CN" w:bidi="ar"/>
              </w:rPr>
              <w:t>N=3.7kW</w:t>
            </w:r>
            <w:r>
              <w:rPr>
                <w:rStyle w:val="65"/>
                <w:color w:val="auto"/>
                <w:sz w:val="21"/>
                <w:szCs w:val="21"/>
                <w:highlight w:val="none"/>
                <w:lang w:val="en-US" w:eastAsia="zh-CN" w:bidi="ar"/>
              </w:rPr>
              <w:t>，</w:t>
            </w:r>
            <w:r>
              <w:rPr>
                <w:rStyle w:val="66"/>
                <w:rFonts w:eastAsia="微软雅黑"/>
                <w:color w:val="auto"/>
                <w:sz w:val="21"/>
                <w:szCs w:val="21"/>
                <w:highlight w:val="none"/>
                <w:lang w:val="en-US" w:eastAsia="zh-CN" w:bidi="ar"/>
              </w:rPr>
              <w:t>n=475rpm</w:t>
            </w:r>
            <w:r>
              <w:rPr>
                <w:rStyle w:val="65"/>
                <w:color w:val="auto"/>
                <w:sz w:val="21"/>
                <w:szCs w:val="21"/>
                <w:highlight w:val="none"/>
                <w:lang w:val="en-US" w:eastAsia="zh-CN" w:bidi="ar"/>
              </w:rPr>
              <w:t>，</w:t>
            </w:r>
            <w:r>
              <w:rPr>
                <w:rStyle w:val="66"/>
                <w:rFonts w:eastAsia="微软雅黑"/>
                <w:color w:val="auto"/>
                <w:sz w:val="21"/>
                <w:szCs w:val="21"/>
                <w:highlight w:val="none"/>
                <w:lang w:val="en-US" w:eastAsia="zh-CN" w:bidi="ar"/>
              </w:rPr>
              <w:t>SUS316L</w:t>
            </w:r>
          </w:p>
        </w:tc>
        <w:tc>
          <w:tcPr>
            <w:tcW w:w="730" w:type="dxa"/>
            <w:vAlign w:val="center"/>
          </w:tcPr>
          <w:p w14:paraId="376FBFE1">
            <w:pPr>
              <w:keepNext w:val="0"/>
              <w:keepLines w:val="0"/>
              <w:widowControl/>
              <w:suppressLineNumbers w:val="0"/>
              <w:jc w:val="center"/>
              <w:textAlignment w:val="center"/>
              <w:rPr>
                <w:rFonts w:ascii="Calibri" w:hAnsi="Calibri"/>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741" w:type="dxa"/>
            <w:vAlign w:val="center"/>
          </w:tcPr>
          <w:p w14:paraId="6DDAE45F">
            <w:pPr>
              <w:keepNext w:val="0"/>
              <w:keepLines w:val="0"/>
              <w:widowControl/>
              <w:suppressLineNumbers w:val="0"/>
              <w:jc w:val="center"/>
              <w:textAlignment w:val="center"/>
              <w:rPr>
                <w:rFonts w:ascii="Calibri" w:hAnsi="Calibri"/>
                <w:color w:val="auto"/>
                <w:kern w:val="0"/>
                <w:sz w:val="21"/>
                <w:szCs w:val="21"/>
                <w:highlight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9</w:t>
            </w:r>
          </w:p>
        </w:tc>
        <w:tc>
          <w:tcPr>
            <w:tcW w:w="1893" w:type="dxa"/>
            <w:vMerge w:val="restart"/>
            <w:vAlign w:val="center"/>
          </w:tcPr>
          <w:p w14:paraId="41A286F0">
            <w:pPr>
              <w:widowControl/>
              <w:snapToGrid w:val="0"/>
              <w:jc w:val="center"/>
              <w:rPr>
                <w:rFonts w:ascii="Calibri" w:hAnsi="Calibri"/>
                <w:color w:val="auto"/>
                <w:kern w:val="0"/>
                <w:sz w:val="21"/>
                <w:szCs w:val="21"/>
                <w:highlight w:val="none"/>
              </w:rPr>
            </w:pPr>
            <w:r>
              <w:rPr>
                <w:rFonts w:hint="eastAsia" w:ascii="Calibri" w:hAnsi="Calibri" w:cs="宋体"/>
                <w:color w:val="auto"/>
                <w:sz w:val="21"/>
                <w:szCs w:val="21"/>
                <w:highlight w:val="none"/>
              </w:rPr>
              <w:t>赛莱默（飞力）、格兰富、KSB、</w:t>
            </w:r>
            <w:r>
              <w:rPr>
                <w:rFonts w:hint="eastAsia" w:ascii="Calibri" w:hAnsi="Calibri" w:cs="宋体"/>
                <w:color w:val="auto"/>
                <w:sz w:val="21"/>
                <w:szCs w:val="21"/>
                <w:highlight w:val="none"/>
                <w:lang w:val="en-US" w:eastAsia="zh-CN"/>
              </w:rPr>
              <w:t xml:space="preserve">   </w:t>
            </w:r>
            <w:r>
              <w:rPr>
                <w:rFonts w:hint="eastAsia" w:ascii="Calibri" w:hAnsi="Calibri" w:cs="宋体"/>
                <w:color w:val="auto"/>
                <w:sz w:val="21"/>
                <w:szCs w:val="21"/>
                <w:highlight w:val="none"/>
              </w:rPr>
              <w:t>苏尔寿（ABS）</w:t>
            </w:r>
            <w:r>
              <w:rPr>
                <w:rFonts w:hint="eastAsia" w:ascii="Calibri" w:hAnsi="Calibri" w:cs="宋体"/>
                <w:color w:val="auto"/>
                <w:sz w:val="21"/>
                <w:szCs w:val="21"/>
                <w:highlight w:val="none"/>
                <w:lang w:val="en-US" w:eastAsia="zh-CN"/>
              </w:rPr>
              <w:t xml:space="preserve">   </w:t>
            </w:r>
            <w:r>
              <w:rPr>
                <w:rFonts w:hint="eastAsia" w:ascii="Calibri" w:hAnsi="Calibri" w:cs="宋体"/>
                <w:color w:val="auto"/>
                <w:sz w:val="21"/>
                <w:szCs w:val="21"/>
                <w:highlight w:val="none"/>
              </w:rPr>
              <w:t>或同等档次品牌</w:t>
            </w:r>
          </w:p>
        </w:tc>
      </w:tr>
      <w:tr w14:paraId="411C7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3" w:hRule="atLeast"/>
          <w:jc w:val="center"/>
        </w:trPr>
        <w:tc>
          <w:tcPr>
            <w:tcW w:w="815" w:type="dxa"/>
            <w:vAlign w:val="center"/>
          </w:tcPr>
          <w:p w14:paraId="6DB84086">
            <w:pPr>
              <w:keepNext w:val="0"/>
              <w:keepLines w:val="0"/>
              <w:widowControl/>
              <w:suppressLineNumbers w:val="0"/>
              <w:jc w:val="center"/>
              <w:textAlignment w:val="center"/>
              <w:rPr>
                <w:rFonts w:ascii="Calibri" w:hAnsi="Calibri"/>
                <w:color w:val="auto"/>
                <w:kern w:val="0"/>
                <w:sz w:val="21"/>
                <w:szCs w:val="21"/>
                <w:highlight w:val="none"/>
              </w:rPr>
            </w:pPr>
            <w:r>
              <w:rPr>
                <w:rFonts w:hint="eastAsia" w:cs="Times New Roman"/>
                <w:i w:val="0"/>
                <w:iCs w:val="0"/>
                <w:color w:val="auto"/>
                <w:kern w:val="0"/>
                <w:sz w:val="21"/>
                <w:szCs w:val="21"/>
                <w:highlight w:val="none"/>
                <w:u w:val="none"/>
                <w:lang w:val="en-US" w:eastAsia="zh-CN" w:bidi="ar"/>
              </w:rPr>
              <w:t>2</w:t>
            </w:r>
          </w:p>
        </w:tc>
        <w:tc>
          <w:tcPr>
            <w:tcW w:w="1305" w:type="dxa"/>
            <w:vMerge w:val="continue"/>
            <w:vAlign w:val="center"/>
          </w:tcPr>
          <w:p w14:paraId="0E644479">
            <w:pPr>
              <w:jc w:val="center"/>
              <w:rPr>
                <w:rFonts w:ascii="Calibri" w:hAnsi="Calibri" w:cs="宋体"/>
                <w:color w:val="auto"/>
                <w:kern w:val="0"/>
                <w:sz w:val="21"/>
                <w:szCs w:val="21"/>
                <w:highlight w:val="none"/>
              </w:rPr>
            </w:pPr>
          </w:p>
        </w:tc>
        <w:tc>
          <w:tcPr>
            <w:tcW w:w="1250" w:type="dxa"/>
            <w:vMerge w:val="continue"/>
            <w:vAlign w:val="center"/>
          </w:tcPr>
          <w:p w14:paraId="3AF2F402">
            <w:pPr>
              <w:jc w:val="center"/>
              <w:rPr>
                <w:rFonts w:ascii="Calibri" w:hAnsi="Calibri"/>
                <w:color w:val="auto"/>
                <w:kern w:val="0"/>
                <w:sz w:val="21"/>
                <w:szCs w:val="21"/>
                <w:highlight w:val="none"/>
              </w:rPr>
            </w:pPr>
          </w:p>
        </w:tc>
        <w:tc>
          <w:tcPr>
            <w:tcW w:w="2218" w:type="dxa"/>
            <w:vAlign w:val="center"/>
          </w:tcPr>
          <w:p w14:paraId="6B59059A">
            <w:pPr>
              <w:keepNext w:val="0"/>
              <w:keepLines w:val="0"/>
              <w:widowControl/>
              <w:suppressLineNumbers w:val="0"/>
              <w:jc w:val="center"/>
              <w:textAlignment w:val="center"/>
              <w:rPr>
                <w:rStyle w:val="65"/>
                <w:color w:val="auto"/>
                <w:sz w:val="21"/>
                <w:szCs w:val="21"/>
                <w:highlight w:val="none"/>
                <w:lang w:val="en-US" w:eastAsia="zh-CN" w:bidi="ar"/>
              </w:rPr>
            </w:pPr>
            <w:r>
              <w:rPr>
                <w:rStyle w:val="66"/>
                <w:rFonts w:eastAsia="微软雅黑"/>
                <w:color w:val="auto"/>
                <w:sz w:val="21"/>
                <w:szCs w:val="21"/>
                <w:highlight w:val="none"/>
                <w:lang w:val="en-US" w:eastAsia="zh-CN" w:bidi="ar"/>
              </w:rPr>
              <w:t>φ580</w:t>
            </w:r>
            <w:r>
              <w:rPr>
                <w:rStyle w:val="66"/>
                <w:rFonts w:hint="eastAsia" w:eastAsia="微软雅黑"/>
                <w:color w:val="auto"/>
                <w:sz w:val="21"/>
                <w:szCs w:val="21"/>
                <w:highlight w:val="none"/>
                <w:lang w:val="en-US" w:eastAsia="zh-CN" w:bidi="ar"/>
              </w:rPr>
              <w:t>mm</w:t>
            </w:r>
            <w:r>
              <w:rPr>
                <w:rStyle w:val="65"/>
                <w:color w:val="auto"/>
                <w:sz w:val="21"/>
                <w:szCs w:val="21"/>
                <w:highlight w:val="none"/>
                <w:lang w:val="en-US" w:eastAsia="zh-CN" w:bidi="ar"/>
              </w:rPr>
              <w:t>，</w:t>
            </w:r>
          </w:p>
          <w:p w14:paraId="74535C6A">
            <w:pPr>
              <w:keepNext w:val="0"/>
              <w:keepLines w:val="0"/>
              <w:widowControl/>
              <w:suppressLineNumbers w:val="0"/>
              <w:jc w:val="center"/>
              <w:textAlignment w:val="center"/>
              <w:rPr>
                <w:rFonts w:ascii="Calibri" w:hAnsi="Calibri"/>
                <w:color w:val="auto"/>
                <w:kern w:val="0"/>
                <w:sz w:val="21"/>
                <w:szCs w:val="21"/>
                <w:highlight w:val="none"/>
              </w:rPr>
            </w:pPr>
            <w:r>
              <w:rPr>
                <w:rStyle w:val="65"/>
                <w:color w:val="auto"/>
                <w:sz w:val="21"/>
                <w:szCs w:val="21"/>
                <w:highlight w:val="none"/>
                <w:lang w:val="en-US" w:eastAsia="zh-CN" w:bidi="ar"/>
              </w:rPr>
              <w:t>推力</w:t>
            </w:r>
            <w:r>
              <w:rPr>
                <w:rStyle w:val="66"/>
                <w:rFonts w:eastAsia="微软雅黑"/>
                <w:color w:val="auto"/>
                <w:sz w:val="21"/>
                <w:szCs w:val="21"/>
                <w:highlight w:val="none"/>
                <w:lang w:val="en-US" w:eastAsia="zh-CN" w:bidi="ar"/>
              </w:rPr>
              <w:t>1274N</w:t>
            </w:r>
            <w:r>
              <w:rPr>
                <w:rStyle w:val="65"/>
                <w:color w:val="auto"/>
                <w:sz w:val="21"/>
                <w:szCs w:val="21"/>
                <w:highlight w:val="none"/>
                <w:lang w:val="en-US" w:eastAsia="zh-CN" w:bidi="ar"/>
              </w:rPr>
              <w:t>，</w:t>
            </w:r>
            <w:r>
              <w:rPr>
                <w:rStyle w:val="66"/>
                <w:rFonts w:eastAsia="微软雅黑"/>
                <w:color w:val="auto"/>
                <w:sz w:val="21"/>
                <w:szCs w:val="21"/>
                <w:highlight w:val="none"/>
                <w:lang w:val="en-US" w:eastAsia="zh-CN" w:bidi="ar"/>
              </w:rPr>
              <w:t>N=5.5kW</w:t>
            </w:r>
            <w:r>
              <w:rPr>
                <w:rStyle w:val="65"/>
                <w:color w:val="auto"/>
                <w:sz w:val="21"/>
                <w:szCs w:val="21"/>
                <w:highlight w:val="none"/>
                <w:lang w:val="en-US" w:eastAsia="zh-CN" w:bidi="ar"/>
              </w:rPr>
              <w:t>，</w:t>
            </w:r>
            <w:r>
              <w:rPr>
                <w:rStyle w:val="66"/>
                <w:rFonts w:eastAsia="微软雅黑"/>
                <w:color w:val="auto"/>
                <w:sz w:val="21"/>
                <w:szCs w:val="21"/>
                <w:highlight w:val="none"/>
                <w:lang w:val="en-US" w:eastAsia="zh-CN" w:bidi="ar"/>
              </w:rPr>
              <w:t>n=475rpm</w:t>
            </w:r>
            <w:r>
              <w:rPr>
                <w:rStyle w:val="65"/>
                <w:color w:val="auto"/>
                <w:sz w:val="21"/>
                <w:szCs w:val="21"/>
                <w:highlight w:val="none"/>
                <w:lang w:val="en-US" w:eastAsia="zh-CN" w:bidi="ar"/>
              </w:rPr>
              <w:t>，</w:t>
            </w:r>
            <w:r>
              <w:rPr>
                <w:rStyle w:val="66"/>
                <w:rFonts w:eastAsia="微软雅黑"/>
                <w:color w:val="auto"/>
                <w:sz w:val="21"/>
                <w:szCs w:val="21"/>
                <w:highlight w:val="none"/>
                <w:lang w:val="en-US" w:eastAsia="zh-CN" w:bidi="ar"/>
              </w:rPr>
              <w:t>SUS316L</w:t>
            </w:r>
          </w:p>
        </w:tc>
        <w:tc>
          <w:tcPr>
            <w:tcW w:w="730" w:type="dxa"/>
            <w:vAlign w:val="center"/>
          </w:tcPr>
          <w:p w14:paraId="5D28F038">
            <w:pPr>
              <w:keepNext w:val="0"/>
              <w:keepLines w:val="0"/>
              <w:widowControl/>
              <w:suppressLineNumbers w:val="0"/>
              <w:jc w:val="center"/>
              <w:textAlignment w:val="center"/>
              <w:rPr>
                <w:rFonts w:ascii="Calibri" w:hAnsi="Calibri"/>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741" w:type="dxa"/>
            <w:vAlign w:val="center"/>
          </w:tcPr>
          <w:p w14:paraId="723565F2">
            <w:pPr>
              <w:keepNext w:val="0"/>
              <w:keepLines w:val="0"/>
              <w:widowControl/>
              <w:suppressLineNumbers w:val="0"/>
              <w:jc w:val="center"/>
              <w:textAlignment w:val="center"/>
              <w:rPr>
                <w:rFonts w:ascii="Calibri" w:hAnsi="Calibri"/>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4</w:t>
            </w:r>
          </w:p>
        </w:tc>
        <w:tc>
          <w:tcPr>
            <w:tcW w:w="1893" w:type="dxa"/>
            <w:vMerge w:val="continue"/>
            <w:vAlign w:val="center"/>
          </w:tcPr>
          <w:p w14:paraId="0684C971">
            <w:pPr>
              <w:widowControl/>
              <w:snapToGrid w:val="0"/>
              <w:jc w:val="center"/>
              <w:rPr>
                <w:rFonts w:ascii="Calibri" w:hAnsi="Calibri"/>
                <w:color w:val="auto"/>
                <w:kern w:val="0"/>
                <w:sz w:val="21"/>
                <w:szCs w:val="21"/>
                <w:highlight w:val="none"/>
              </w:rPr>
            </w:pPr>
          </w:p>
        </w:tc>
      </w:tr>
      <w:tr w14:paraId="4E4AE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2" w:hRule="atLeast"/>
          <w:jc w:val="center"/>
        </w:trPr>
        <w:tc>
          <w:tcPr>
            <w:tcW w:w="815" w:type="dxa"/>
            <w:vAlign w:val="center"/>
          </w:tcPr>
          <w:p w14:paraId="477958C3">
            <w:pPr>
              <w:keepNext w:val="0"/>
              <w:keepLines w:val="0"/>
              <w:widowControl/>
              <w:suppressLineNumbers w:val="0"/>
              <w:jc w:val="center"/>
              <w:textAlignment w:val="center"/>
              <w:rPr>
                <w:rFonts w:ascii="Calibri" w:hAnsi="Calibri"/>
                <w:color w:val="auto"/>
                <w:kern w:val="0"/>
                <w:sz w:val="21"/>
                <w:szCs w:val="21"/>
                <w:highlight w:val="none"/>
              </w:rPr>
            </w:pPr>
            <w:r>
              <w:rPr>
                <w:rFonts w:hint="eastAsia" w:cs="Times New Roman"/>
                <w:i w:val="0"/>
                <w:iCs w:val="0"/>
                <w:color w:val="auto"/>
                <w:kern w:val="0"/>
                <w:sz w:val="21"/>
                <w:szCs w:val="21"/>
                <w:highlight w:val="none"/>
                <w:u w:val="none"/>
                <w:lang w:val="en-US" w:eastAsia="zh-CN" w:bidi="ar"/>
              </w:rPr>
              <w:t>3</w:t>
            </w:r>
          </w:p>
        </w:tc>
        <w:tc>
          <w:tcPr>
            <w:tcW w:w="1305" w:type="dxa"/>
            <w:vAlign w:val="center"/>
          </w:tcPr>
          <w:p w14:paraId="7BA1739E">
            <w:pPr>
              <w:keepNext w:val="0"/>
              <w:keepLines w:val="0"/>
              <w:widowControl/>
              <w:suppressLineNumbers w:val="0"/>
              <w:jc w:val="center"/>
              <w:textAlignment w:val="center"/>
              <w:rPr>
                <w:rFonts w:ascii="Calibri" w:hAnsi="Calibri" w:cs="宋体"/>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浓水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MBR生化池</w:t>
            </w:r>
          </w:p>
        </w:tc>
        <w:tc>
          <w:tcPr>
            <w:tcW w:w="1250" w:type="dxa"/>
            <w:vAlign w:val="center"/>
          </w:tcPr>
          <w:p w14:paraId="62E3A2FB">
            <w:pPr>
              <w:keepNext w:val="0"/>
              <w:keepLines w:val="0"/>
              <w:widowControl/>
              <w:suppressLineNumbers w:val="0"/>
              <w:jc w:val="center"/>
              <w:textAlignment w:val="center"/>
              <w:rPr>
                <w:rFonts w:ascii="Calibri" w:hAnsi="Calibri"/>
                <w:color w:val="auto"/>
                <w:kern w:val="0"/>
                <w:sz w:val="21"/>
                <w:szCs w:val="21"/>
                <w:highlight w:val="none"/>
              </w:rPr>
            </w:pPr>
            <w:r>
              <w:rPr>
                <w:rStyle w:val="69"/>
                <w:color w:val="auto"/>
                <w:sz w:val="21"/>
                <w:szCs w:val="21"/>
                <w:highlight w:val="none"/>
                <w:lang w:val="en-US" w:eastAsia="zh-CN" w:bidi="ar"/>
              </w:rPr>
              <w:t>缺氧池潜水搅拌机</w:t>
            </w:r>
          </w:p>
        </w:tc>
        <w:tc>
          <w:tcPr>
            <w:tcW w:w="2218" w:type="dxa"/>
            <w:vAlign w:val="center"/>
          </w:tcPr>
          <w:p w14:paraId="7050BB66">
            <w:pPr>
              <w:keepNext w:val="0"/>
              <w:keepLines w:val="0"/>
              <w:widowControl/>
              <w:suppressLineNumbers w:val="0"/>
              <w:jc w:val="center"/>
              <w:textAlignment w:val="center"/>
              <w:rPr>
                <w:rStyle w:val="69"/>
                <w:rFonts w:hint="eastAsia" w:ascii="宋体" w:hAnsi="宋体" w:eastAsia="宋体" w:cs="宋体"/>
                <w:color w:val="auto"/>
                <w:sz w:val="21"/>
                <w:szCs w:val="21"/>
                <w:highlight w:val="none"/>
                <w:lang w:val="en-US" w:eastAsia="zh-CN" w:bidi="ar"/>
              </w:rPr>
            </w:pPr>
            <w:r>
              <w:rPr>
                <w:rStyle w:val="69"/>
                <w:rFonts w:hint="eastAsia" w:ascii="宋体" w:hAnsi="宋体" w:eastAsia="宋体" w:cs="宋体"/>
                <w:i w:val="0"/>
                <w:iCs w:val="0"/>
                <w:color w:val="auto"/>
                <w:sz w:val="21"/>
                <w:szCs w:val="21"/>
                <w:highlight w:val="none"/>
                <w:lang w:val="en-US" w:eastAsia="zh-CN" w:bidi="ar"/>
              </w:rPr>
              <w:t>φ=580mm，</w:t>
            </w:r>
            <w:r>
              <w:rPr>
                <w:rStyle w:val="49"/>
                <w:rFonts w:hint="eastAsia" w:ascii="宋体" w:hAnsi="宋体" w:eastAsia="宋体" w:cs="宋体"/>
                <w:color w:val="auto"/>
                <w:sz w:val="21"/>
                <w:szCs w:val="21"/>
                <w:highlight w:val="none"/>
                <w:vertAlign w:val="baseline"/>
                <w:lang w:val="en-US" w:eastAsia="zh-CN" w:bidi="ar"/>
              </w:rPr>
              <w:t>N=6.6kW</w:t>
            </w:r>
            <w:r>
              <w:rPr>
                <w:rStyle w:val="69"/>
                <w:rFonts w:hint="eastAsia" w:ascii="宋体" w:hAnsi="宋体" w:eastAsia="宋体" w:cs="宋体"/>
                <w:color w:val="auto"/>
                <w:sz w:val="21"/>
                <w:szCs w:val="21"/>
                <w:highlight w:val="none"/>
                <w:lang w:val="en-US" w:eastAsia="zh-CN" w:bidi="ar"/>
              </w:rPr>
              <w:t>，</w:t>
            </w:r>
          </w:p>
          <w:p w14:paraId="4C8416CE">
            <w:pPr>
              <w:keepNext w:val="0"/>
              <w:keepLines w:val="0"/>
              <w:widowControl/>
              <w:suppressLineNumbers w:val="0"/>
              <w:jc w:val="center"/>
              <w:textAlignment w:val="center"/>
              <w:rPr>
                <w:rStyle w:val="69"/>
                <w:rFonts w:hint="eastAsia" w:ascii="宋体" w:hAnsi="宋体" w:eastAsia="宋体" w:cs="宋体"/>
                <w:color w:val="auto"/>
                <w:sz w:val="21"/>
                <w:szCs w:val="21"/>
                <w:highlight w:val="none"/>
                <w:lang w:val="en-US" w:eastAsia="zh-CN" w:bidi="ar"/>
              </w:rPr>
            </w:pPr>
            <w:r>
              <w:rPr>
                <w:rStyle w:val="69"/>
                <w:rFonts w:hint="eastAsia" w:ascii="宋体" w:hAnsi="宋体" w:eastAsia="宋体" w:cs="宋体"/>
                <w:color w:val="auto"/>
                <w:sz w:val="21"/>
                <w:szCs w:val="21"/>
                <w:highlight w:val="none"/>
                <w:lang w:val="en-US" w:eastAsia="zh-CN" w:bidi="ar"/>
              </w:rPr>
              <w:t>池深</w:t>
            </w:r>
            <w:r>
              <w:rPr>
                <w:rStyle w:val="49"/>
                <w:rFonts w:hint="eastAsia" w:ascii="宋体" w:hAnsi="宋体" w:eastAsia="宋体" w:cs="宋体"/>
                <w:color w:val="auto"/>
                <w:sz w:val="21"/>
                <w:szCs w:val="21"/>
                <w:highlight w:val="none"/>
                <w:vertAlign w:val="baseline"/>
                <w:lang w:val="en-US" w:eastAsia="zh-CN" w:bidi="ar"/>
              </w:rPr>
              <w:t>8.8m</w:t>
            </w:r>
            <w:r>
              <w:rPr>
                <w:rStyle w:val="69"/>
                <w:rFonts w:hint="eastAsia" w:ascii="宋体" w:hAnsi="宋体" w:eastAsia="宋体" w:cs="宋体"/>
                <w:color w:val="auto"/>
                <w:sz w:val="21"/>
                <w:szCs w:val="21"/>
                <w:highlight w:val="none"/>
                <w:lang w:val="en-US" w:eastAsia="zh-CN" w:bidi="ar"/>
              </w:rPr>
              <w:t>，</w:t>
            </w:r>
          </w:p>
          <w:p w14:paraId="5B1AEA75">
            <w:pPr>
              <w:keepNext w:val="0"/>
              <w:keepLines w:val="0"/>
              <w:widowControl/>
              <w:suppressLineNumbers w:val="0"/>
              <w:jc w:val="center"/>
              <w:textAlignment w:val="center"/>
              <w:rPr>
                <w:rFonts w:ascii="Calibri" w:hAnsi="Calibri"/>
                <w:color w:val="auto"/>
                <w:kern w:val="0"/>
                <w:sz w:val="21"/>
                <w:szCs w:val="21"/>
                <w:highlight w:val="none"/>
              </w:rPr>
            </w:pPr>
            <w:r>
              <w:rPr>
                <w:rStyle w:val="69"/>
                <w:rFonts w:hint="eastAsia" w:ascii="宋体" w:hAnsi="宋体" w:eastAsia="宋体" w:cs="宋体"/>
                <w:color w:val="auto"/>
                <w:sz w:val="21"/>
                <w:szCs w:val="21"/>
                <w:highlight w:val="none"/>
                <w:lang w:val="en-US" w:eastAsia="zh-CN" w:bidi="ar"/>
              </w:rPr>
              <w:t>带起吊装置</w:t>
            </w:r>
          </w:p>
        </w:tc>
        <w:tc>
          <w:tcPr>
            <w:tcW w:w="730" w:type="dxa"/>
            <w:vAlign w:val="center"/>
          </w:tcPr>
          <w:p w14:paraId="5226017C">
            <w:pPr>
              <w:keepNext w:val="0"/>
              <w:keepLines w:val="0"/>
              <w:widowControl/>
              <w:suppressLineNumbers w:val="0"/>
              <w:jc w:val="center"/>
              <w:textAlignment w:val="center"/>
              <w:rPr>
                <w:rFonts w:ascii="Calibri" w:hAnsi="Calibri"/>
                <w:color w:val="auto"/>
                <w:kern w:val="0"/>
                <w:sz w:val="21"/>
                <w:szCs w:val="21"/>
                <w:highlight w:val="none"/>
              </w:rPr>
            </w:pPr>
            <w:r>
              <w:rPr>
                <w:rStyle w:val="70"/>
                <w:color w:val="auto"/>
                <w:sz w:val="21"/>
                <w:szCs w:val="21"/>
                <w:highlight w:val="none"/>
                <w:lang w:val="en-US" w:eastAsia="zh-CN" w:bidi="ar"/>
              </w:rPr>
              <w:t>套</w:t>
            </w:r>
          </w:p>
        </w:tc>
        <w:tc>
          <w:tcPr>
            <w:tcW w:w="741" w:type="dxa"/>
            <w:vAlign w:val="center"/>
          </w:tcPr>
          <w:p w14:paraId="7BCB24E2">
            <w:pPr>
              <w:keepNext w:val="0"/>
              <w:keepLines w:val="0"/>
              <w:widowControl/>
              <w:suppressLineNumbers w:val="0"/>
              <w:jc w:val="center"/>
              <w:textAlignment w:val="center"/>
              <w:rPr>
                <w:rFonts w:ascii="Calibri" w:hAnsi="Calibri"/>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1893" w:type="dxa"/>
            <w:vMerge w:val="continue"/>
            <w:vAlign w:val="center"/>
          </w:tcPr>
          <w:p w14:paraId="7B71AEA6">
            <w:pPr>
              <w:widowControl/>
              <w:snapToGrid w:val="0"/>
              <w:jc w:val="center"/>
              <w:rPr>
                <w:rFonts w:ascii="Calibri" w:hAnsi="Calibri"/>
                <w:color w:val="auto"/>
                <w:kern w:val="0"/>
                <w:sz w:val="21"/>
                <w:szCs w:val="21"/>
                <w:highlight w:val="none"/>
              </w:rPr>
            </w:pPr>
          </w:p>
        </w:tc>
      </w:tr>
    </w:tbl>
    <w:p w14:paraId="1AF0233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p w14:paraId="5BA78F56">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标准化的外观、运行、维修、备品备件以及制造商服务，所提供的设备必须是一个制造商的最终产品。每台潜水推流器及搅拌器应成套地配备安全、有效及可靠运行所需的附件和安装所需的固定件。每台潜水推流器及搅拌器均主要包括：</w:t>
      </w:r>
    </w:p>
    <w:p w14:paraId="6517E942">
      <w:pPr>
        <w:widowControl/>
        <w:numPr>
          <w:ilvl w:val="0"/>
          <w:numId w:val="5"/>
        </w:numPr>
        <w:tabs>
          <w:tab w:val="left" w:pos="540"/>
        </w:tabs>
        <w:spacing w:beforeLines="0" w:line="360" w:lineRule="auto"/>
        <w:ind w:left="425" w:leftChars="0" w:hanging="5" w:firstLineChars="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装配完整的水下推流器及搅拌器；</w:t>
      </w:r>
    </w:p>
    <w:p w14:paraId="75F0F543">
      <w:pPr>
        <w:widowControl/>
        <w:numPr>
          <w:ilvl w:val="0"/>
          <w:numId w:val="5"/>
        </w:numPr>
        <w:tabs>
          <w:tab w:val="left" w:pos="540"/>
        </w:tabs>
        <w:spacing w:beforeLines="0" w:line="360" w:lineRule="auto"/>
        <w:ind w:left="425" w:leftChars="0" w:hanging="5" w:firstLineChars="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每台设备含电机托架、限位吊钩、导轨和紧固件等的水下提升支架和带手动葫芦水上提升吊架、提升吊架插筒、电缆固定件等；</w:t>
      </w:r>
    </w:p>
    <w:p w14:paraId="43AF48CF">
      <w:pPr>
        <w:widowControl/>
        <w:numPr>
          <w:ilvl w:val="0"/>
          <w:numId w:val="5"/>
        </w:numPr>
        <w:tabs>
          <w:tab w:val="left" w:pos="540"/>
        </w:tabs>
        <w:spacing w:beforeLines="0" w:line="360" w:lineRule="auto"/>
        <w:ind w:left="425" w:leftChars="0" w:hanging="5" w:firstLineChars="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需提供20米水下电缆</w:t>
      </w:r>
      <w:r>
        <w:rPr>
          <w:rFonts w:hint="eastAsia" w:cs="宋体"/>
          <w:color w:val="auto"/>
          <w:szCs w:val="21"/>
          <w:highlight w:val="none"/>
          <w:lang w:eastAsia="zh-CN"/>
        </w:rPr>
        <w:t>（</w:t>
      </w:r>
      <w:r>
        <w:rPr>
          <w:rFonts w:hint="eastAsia" w:cs="宋体"/>
          <w:color w:val="auto"/>
          <w:szCs w:val="21"/>
          <w:highlight w:val="none"/>
          <w:lang w:val="en-US" w:eastAsia="zh-CN"/>
        </w:rPr>
        <w:t>含动力和信号电缆</w:t>
      </w:r>
      <w:r>
        <w:rPr>
          <w:rFonts w:hint="eastAsia" w:cs="宋体"/>
          <w:color w:val="auto"/>
          <w:szCs w:val="21"/>
          <w:highlight w:val="none"/>
          <w:lang w:eastAsia="zh-CN"/>
        </w:rPr>
        <w:t>）</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参考，具体以接入配电箱为准</w:t>
      </w:r>
      <w:r>
        <w:rPr>
          <w:rFonts w:hint="eastAsia" w:ascii="宋体" w:hAnsi="宋体" w:eastAsia="宋体" w:cs="宋体"/>
          <w:color w:val="auto"/>
          <w:szCs w:val="21"/>
          <w:highlight w:val="none"/>
          <w:lang w:eastAsia="zh-CN"/>
        </w:rPr>
        <w:t>）及电缆固定的金属网套，满足池深要求；</w:t>
      </w:r>
    </w:p>
    <w:p w14:paraId="63783446">
      <w:pPr>
        <w:widowControl/>
        <w:numPr>
          <w:ilvl w:val="0"/>
          <w:numId w:val="5"/>
        </w:numPr>
        <w:tabs>
          <w:tab w:val="left" w:pos="540"/>
        </w:tabs>
        <w:spacing w:beforeLines="0" w:line="360" w:lineRule="auto"/>
        <w:ind w:left="425" w:leftChars="0" w:hanging="5" w:firstLineChars="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水下电缆、电缆夹等；</w:t>
      </w:r>
    </w:p>
    <w:p w14:paraId="4EFC5791">
      <w:pPr>
        <w:widowControl/>
        <w:numPr>
          <w:ilvl w:val="0"/>
          <w:numId w:val="5"/>
        </w:numPr>
        <w:tabs>
          <w:tab w:val="left" w:pos="540"/>
        </w:tabs>
        <w:spacing w:beforeLines="0" w:line="360" w:lineRule="auto"/>
        <w:ind w:left="425" w:leftChars="0" w:hanging="5" w:firstLineChars="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电气专用保护元件，包括油室泄漏保护或定子室泄漏传感器、电机过热保护等；</w:t>
      </w:r>
    </w:p>
    <w:p w14:paraId="6E9300D4">
      <w:pPr>
        <w:widowControl/>
        <w:numPr>
          <w:ilvl w:val="0"/>
          <w:numId w:val="5"/>
        </w:numPr>
        <w:tabs>
          <w:tab w:val="left" w:pos="540"/>
        </w:tabs>
        <w:spacing w:beforeLines="0" w:line="360" w:lineRule="auto"/>
        <w:ind w:left="425" w:leftChars="0" w:hanging="5" w:firstLineChars="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所有联接附件、地脚螺栓；</w:t>
      </w:r>
    </w:p>
    <w:p w14:paraId="7D12DBD1">
      <w:pPr>
        <w:widowControl/>
        <w:numPr>
          <w:ilvl w:val="0"/>
          <w:numId w:val="5"/>
        </w:numPr>
        <w:tabs>
          <w:tab w:val="left" w:pos="540"/>
        </w:tabs>
        <w:spacing w:beforeLines="0" w:line="360" w:lineRule="auto"/>
        <w:ind w:left="425" w:leftChars="0" w:hanging="5" w:firstLineChars="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备品备件</w:t>
      </w:r>
    </w:p>
    <w:p w14:paraId="2BD96467">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供货厂商须提供质保期内的备品备件、易损件及专用工具（包含在投标总价中）。</w:t>
      </w:r>
    </w:p>
    <w:p w14:paraId="188F3E6D">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备品备件以保证设备正常运行为目标；供货厂商应按标准提供质保期内的所有备品备件、易损件及专用工具，列出明细及单价；供货厂商应提供随机专用工具清单；供货厂商应承诺在保修期外以不高于投标时单价向买方提供备品备件，并在寿命期内保证零配件供应</w:t>
      </w:r>
      <w:r>
        <w:rPr>
          <w:rFonts w:hint="eastAsia" w:ascii="宋体" w:hAnsi="宋体" w:eastAsia="宋体" w:cs="宋体"/>
          <w:color w:val="auto"/>
          <w:szCs w:val="21"/>
          <w:highlight w:val="none"/>
          <w:lang w:val="en-US" w:eastAsia="zh-CN"/>
        </w:rPr>
        <w:t>。</w:t>
      </w:r>
    </w:p>
    <w:p w14:paraId="214F5477">
      <w:pPr>
        <w:keepNext/>
        <w:keepLines/>
        <w:spacing w:before="280" w:line="376" w:lineRule="auto"/>
        <w:jc w:val="left"/>
        <w:outlineLvl w:val="4"/>
        <w:rPr>
          <w:rFonts w:ascii="黑体" w:hAnsi="黑体" w:eastAsia="黑体" w:cs="黑体"/>
          <w:color w:val="auto"/>
          <w:sz w:val="21"/>
          <w:szCs w:val="21"/>
          <w:highlight w:val="none"/>
        </w:rPr>
      </w:pPr>
      <w:r>
        <w:rPr>
          <w:rFonts w:hint="eastAsia" w:ascii="黑体" w:hAnsi="黑体" w:eastAsia="黑体" w:cs="黑体"/>
          <w:color w:val="auto"/>
          <w:sz w:val="21"/>
          <w:szCs w:val="21"/>
          <w:highlight w:val="none"/>
          <w:lang w:val="en-US" w:eastAsia="zh-CN"/>
        </w:rPr>
        <w:t>2</w:t>
      </w:r>
      <w:r>
        <w:rPr>
          <w:rFonts w:hint="eastAsia" w:ascii="黑体" w:hAnsi="黑体" w:eastAsia="黑体" w:cs="黑体"/>
          <w:color w:val="auto"/>
          <w:sz w:val="21"/>
          <w:szCs w:val="21"/>
          <w:highlight w:val="none"/>
        </w:rPr>
        <w:t>.</w:t>
      </w:r>
      <w:r>
        <w:rPr>
          <w:rFonts w:hint="eastAsia" w:ascii="黑体" w:hAnsi="黑体" w:eastAsia="黑体" w:cs="黑体"/>
          <w:color w:val="auto"/>
          <w:sz w:val="21"/>
          <w:szCs w:val="21"/>
          <w:highlight w:val="none"/>
          <w:lang w:val="en-US" w:eastAsia="zh-CN"/>
        </w:rPr>
        <w:t>水泵</w:t>
      </w:r>
      <w:r>
        <w:rPr>
          <w:rFonts w:ascii="黑体" w:hAnsi="黑体" w:eastAsia="黑体" w:cs="黑体"/>
          <w:color w:val="auto"/>
          <w:sz w:val="21"/>
          <w:szCs w:val="21"/>
          <w:highlight w:val="none"/>
        </w:rPr>
        <w:t>设备清单</w:t>
      </w:r>
    </w:p>
    <w:tbl>
      <w:tblPr>
        <w:tblStyle w:val="27"/>
        <w:tblW w:w="5007" w:type="pct"/>
        <w:tblInd w:w="0" w:type="dxa"/>
        <w:tblLayout w:type="fixed"/>
        <w:tblCellMar>
          <w:top w:w="0" w:type="dxa"/>
          <w:left w:w="108" w:type="dxa"/>
          <w:bottom w:w="0" w:type="dxa"/>
          <w:right w:w="108" w:type="dxa"/>
        </w:tblCellMar>
      </w:tblPr>
      <w:tblGrid>
        <w:gridCol w:w="437"/>
        <w:gridCol w:w="1346"/>
        <w:gridCol w:w="1041"/>
        <w:gridCol w:w="2668"/>
        <w:gridCol w:w="895"/>
        <w:gridCol w:w="537"/>
        <w:gridCol w:w="536"/>
        <w:gridCol w:w="715"/>
        <w:gridCol w:w="1127"/>
      </w:tblGrid>
      <w:tr w14:paraId="392C2C4A">
        <w:tblPrEx>
          <w:tblCellMar>
            <w:top w:w="0" w:type="dxa"/>
            <w:left w:w="108" w:type="dxa"/>
            <w:bottom w:w="0" w:type="dxa"/>
            <w:right w:w="108" w:type="dxa"/>
          </w:tblCellMar>
        </w:tblPrEx>
        <w:trPr>
          <w:trHeight w:val="280"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AEFED">
            <w:pPr>
              <w:widowControl/>
              <w:snapToGrid w:val="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序号</w:t>
            </w:r>
          </w:p>
        </w:tc>
        <w:tc>
          <w:tcPr>
            <w:tcW w:w="723" w:type="pct"/>
            <w:tcBorders>
              <w:top w:val="single" w:color="000000" w:sz="4" w:space="0"/>
              <w:left w:val="nil"/>
              <w:bottom w:val="single" w:color="000000" w:sz="4" w:space="0"/>
              <w:right w:val="single" w:color="000000" w:sz="4" w:space="0"/>
            </w:tcBorders>
            <w:shd w:val="clear" w:color="auto" w:fill="auto"/>
            <w:noWrap/>
            <w:vAlign w:val="center"/>
          </w:tcPr>
          <w:p w14:paraId="1D263A9A">
            <w:pPr>
              <w:widowControl/>
              <w:snapToGrid w:val="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工艺单元</w:t>
            </w:r>
          </w:p>
        </w:tc>
        <w:tc>
          <w:tcPr>
            <w:tcW w:w="559" w:type="pct"/>
            <w:tcBorders>
              <w:top w:val="single" w:color="000000" w:sz="4" w:space="0"/>
              <w:left w:val="nil"/>
              <w:bottom w:val="single" w:color="000000" w:sz="4" w:space="0"/>
              <w:right w:val="single" w:color="000000" w:sz="4" w:space="0"/>
            </w:tcBorders>
            <w:shd w:val="clear" w:color="auto" w:fill="auto"/>
            <w:vAlign w:val="center"/>
          </w:tcPr>
          <w:p w14:paraId="1919283D">
            <w:pPr>
              <w:widowControl/>
              <w:snapToGrid w:val="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名称</w:t>
            </w:r>
          </w:p>
        </w:tc>
        <w:tc>
          <w:tcPr>
            <w:tcW w:w="1434" w:type="pct"/>
            <w:tcBorders>
              <w:top w:val="single" w:color="000000" w:sz="4" w:space="0"/>
              <w:left w:val="nil"/>
              <w:bottom w:val="single" w:color="000000" w:sz="4" w:space="0"/>
              <w:right w:val="single" w:color="000000" w:sz="4" w:space="0"/>
            </w:tcBorders>
            <w:shd w:val="clear" w:color="auto" w:fill="auto"/>
            <w:vAlign w:val="center"/>
          </w:tcPr>
          <w:p w14:paraId="6171E7FA">
            <w:pPr>
              <w:widowControl/>
              <w:snapToGrid w:val="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规格</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176B7B4A">
            <w:pPr>
              <w:widowControl/>
              <w:snapToGrid w:val="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材料</w:t>
            </w:r>
          </w:p>
        </w:tc>
        <w:tc>
          <w:tcPr>
            <w:tcW w:w="288" w:type="pct"/>
            <w:tcBorders>
              <w:top w:val="single" w:color="000000" w:sz="4" w:space="0"/>
              <w:left w:val="nil"/>
              <w:bottom w:val="single" w:color="000000" w:sz="4" w:space="0"/>
              <w:right w:val="single" w:color="000000" w:sz="4" w:space="0"/>
            </w:tcBorders>
            <w:shd w:val="clear" w:color="auto" w:fill="auto"/>
            <w:vAlign w:val="center"/>
          </w:tcPr>
          <w:p w14:paraId="5F17505F">
            <w:pPr>
              <w:widowControl/>
              <w:snapToGrid w:val="0"/>
              <w:jc w:val="center"/>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单位</w:t>
            </w:r>
          </w:p>
        </w:tc>
        <w:tc>
          <w:tcPr>
            <w:tcW w:w="288" w:type="pct"/>
            <w:tcBorders>
              <w:top w:val="single" w:color="000000" w:sz="4" w:space="0"/>
              <w:left w:val="nil"/>
              <w:bottom w:val="single" w:color="000000" w:sz="4" w:space="0"/>
              <w:right w:val="single" w:color="000000" w:sz="4" w:space="0"/>
            </w:tcBorders>
            <w:shd w:val="clear" w:color="auto" w:fill="auto"/>
            <w:vAlign w:val="center"/>
          </w:tcPr>
          <w:p w14:paraId="6AB3946E">
            <w:pPr>
              <w:widowControl/>
              <w:snapToGrid w:val="0"/>
              <w:jc w:val="center"/>
              <w:rPr>
                <w:rFonts w:ascii="宋体" w:hAnsi="宋体" w:cs="宋体"/>
                <w:color w:val="auto"/>
                <w:kern w:val="0"/>
                <w:sz w:val="21"/>
                <w:szCs w:val="21"/>
                <w:highlight w:val="none"/>
              </w:rPr>
            </w:pPr>
            <w:r>
              <w:rPr>
                <w:rFonts w:hint="eastAsia" w:ascii="宋体" w:hAnsi="宋体"/>
                <w:color w:val="auto"/>
                <w:sz w:val="21"/>
                <w:szCs w:val="21"/>
                <w:highlight w:val="none"/>
              </w:rPr>
              <w:t>数量</w:t>
            </w:r>
          </w:p>
        </w:tc>
        <w:tc>
          <w:tcPr>
            <w:tcW w:w="384" w:type="pct"/>
            <w:tcBorders>
              <w:top w:val="single" w:color="000000" w:sz="4" w:space="0"/>
              <w:left w:val="nil"/>
              <w:bottom w:val="single" w:color="000000" w:sz="4" w:space="0"/>
              <w:right w:val="single" w:color="000000" w:sz="4" w:space="0"/>
            </w:tcBorders>
            <w:shd w:val="clear" w:color="auto" w:fill="auto"/>
            <w:noWrap/>
            <w:vAlign w:val="center"/>
          </w:tcPr>
          <w:p w14:paraId="3C0FD4EA">
            <w:pPr>
              <w:widowControl/>
              <w:snapToGrid w:val="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备注</w:t>
            </w:r>
          </w:p>
        </w:tc>
        <w:tc>
          <w:tcPr>
            <w:tcW w:w="605" w:type="pct"/>
            <w:tcBorders>
              <w:top w:val="single" w:color="000000" w:sz="4" w:space="0"/>
              <w:left w:val="nil"/>
              <w:bottom w:val="single" w:color="000000" w:sz="4" w:space="0"/>
              <w:right w:val="single" w:color="000000" w:sz="4" w:space="0"/>
            </w:tcBorders>
            <w:shd w:val="clear" w:color="auto" w:fill="auto"/>
            <w:noWrap/>
            <w:vAlign w:val="center"/>
          </w:tcPr>
          <w:p w14:paraId="55B16830">
            <w:pPr>
              <w:widowControl/>
              <w:snapToGrid w:val="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品牌要求</w:t>
            </w:r>
          </w:p>
        </w:tc>
      </w:tr>
      <w:tr w14:paraId="097CAEBC">
        <w:tblPrEx>
          <w:tblCellMar>
            <w:top w:w="0" w:type="dxa"/>
            <w:left w:w="108" w:type="dxa"/>
            <w:bottom w:w="0" w:type="dxa"/>
            <w:right w:w="108" w:type="dxa"/>
          </w:tblCellMar>
        </w:tblPrEx>
        <w:trPr>
          <w:trHeight w:val="540" w:hRule="atLeast"/>
        </w:trPr>
        <w:tc>
          <w:tcPr>
            <w:tcW w:w="234" w:type="pct"/>
            <w:tcBorders>
              <w:top w:val="nil"/>
              <w:left w:val="single" w:color="000000" w:sz="4" w:space="0"/>
              <w:bottom w:val="single" w:color="000000" w:sz="4" w:space="0"/>
              <w:right w:val="single" w:color="000000" w:sz="4" w:space="0"/>
            </w:tcBorders>
            <w:shd w:val="clear" w:color="auto" w:fill="auto"/>
            <w:noWrap/>
            <w:vAlign w:val="center"/>
          </w:tcPr>
          <w:p w14:paraId="601D9D6B">
            <w:pPr>
              <w:keepNext w:val="0"/>
              <w:keepLines w:val="0"/>
              <w:widowControl/>
              <w:suppressLineNumbers w:val="0"/>
              <w:jc w:val="center"/>
              <w:textAlignment w:val="center"/>
              <w:rPr>
                <w:rFonts w:ascii="宋体" w:hAnsi="宋体" w:cs="宋体"/>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23" w:type="pct"/>
            <w:tcBorders>
              <w:top w:val="nil"/>
              <w:left w:val="nil"/>
              <w:bottom w:val="single" w:color="000000" w:sz="4" w:space="0"/>
              <w:right w:val="single" w:color="000000" w:sz="4" w:space="0"/>
            </w:tcBorders>
            <w:shd w:val="clear" w:color="auto" w:fill="auto"/>
            <w:vAlign w:val="center"/>
          </w:tcPr>
          <w:p w14:paraId="340B63E5">
            <w:pPr>
              <w:keepNext w:val="0"/>
              <w:keepLines w:val="0"/>
              <w:widowControl/>
              <w:suppressLineNumbers w:val="0"/>
              <w:jc w:val="center"/>
              <w:textAlignment w:val="center"/>
              <w:rPr>
                <w:rFonts w:ascii="宋体" w:hAnsi="宋体" w:cs="宋体"/>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废水调节池事故池</w:t>
            </w:r>
          </w:p>
        </w:tc>
        <w:tc>
          <w:tcPr>
            <w:tcW w:w="559" w:type="pct"/>
            <w:tcBorders>
              <w:top w:val="nil"/>
              <w:left w:val="nil"/>
              <w:bottom w:val="single" w:color="000000" w:sz="4" w:space="0"/>
              <w:right w:val="single" w:color="000000" w:sz="4" w:space="0"/>
            </w:tcBorders>
            <w:shd w:val="clear" w:color="auto" w:fill="auto"/>
            <w:vAlign w:val="center"/>
          </w:tcPr>
          <w:p w14:paraId="43F1827A">
            <w:pPr>
              <w:keepNext w:val="0"/>
              <w:keepLines w:val="0"/>
              <w:widowControl/>
              <w:suppressLineNumbers w:val="0"/>
              <w:jc w:val="center"/>
              <w:textAlignment w:val="center"/>
              <w:rPr>
                <w:rFonts w:ascii="宋体" w:hAnsi="宋体" w:cs="宋体"/>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废水提升泵</w:t>
            </w:r>
          </w:p>
        </w:tc>
        <w:tc>
          <w:tcPr>
            <w:tcW w:w="1434" w:type="pct"/>
            <w:tcBorders>
              <w:top w:val="nil"/>
              <w:left w:val="nil"/>
              <w:bottom w:val="single" w:color="000000" w:sz="4" w:space="0"/>
              <w:right w:val="single" w:color="000000" w:sz="4" w:space="0"/>
            </w:tcBorders>
            <w:shd w:val="clear" w:color="auto" w:fill="auto"/>
            <w:vAlign w:val="center"/>
          </w:tcPr>
          <w:p w14:paraId="7DF84F0E">
            <w:pPr>
              <w:keepNext w:val="0"/>
              <w:keepLines w:val="0"/>
              <w:widowControl/>
              <w:suppressLineNumbers w:val="0"/>
              <w:jc w:val="center"/>
              <w:textAlignment w:val="center"/>
              <w:rPr>
                <w:rFonts w:ascii="宋体" w:hAnsi="宋体"/>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卧式泵，变频，</w:t>
            </w:r>
            <w:r>
              <w:rPr>
                <w:rStyle w:val="71"/>
                <w:rFonts w:eastAsia="宋体"/>
                <w:color w:val="auto"/>
                <w:sz w:val="21"/>
                <w:szCs w:val="21"/>
                <w:highlight w:val="none"/>
                <w:lang w:val="en-US" w:eastAsia="zh-CN" w:bidi="ar"/>
              </w:rPr>
              <w:br w:type="textWrapping"/>
            </w:r>
            <w:r>
              <w:rPr>
                <w:rStyle w:val="71"/>
                <w:rFonts w:eastAsia="宋体"/>
                <w:color w:val="auto"/>
                <w:sz w:val="21"/>
                <w:szCs w:val="21"/>
                <w:highlight w:val="none"/>
                <w:lang w:val="en-US" w:eastAsia="zh-CN" w:bidi="ar"/>
              </w:rPr>
              <w:t>Q=135m3/h</w:t>
            </w:r>
            <w:r>
              <w:rPr>
                <w:rStyle w:val="48"/>
                <w:color w:val="auto"/>
                <w:sz w:val="21"/>
                <w:szCs w:val="21"/>
                <w:highlight w:val="none"/>
                <w:lang w:val="en-US" w:eastAsia="zh-CN" w:bidi="ar"/>
              </w:rPr>
              <w:t>，</w:t>
            </w:r>
            <w:r>
              <w:rPr>
                <w:rStyle w:val="71"/>
                <w:rFonts w:eastAsia="宋体"/>
                <w:color w:val="auto"/>
                <w:sz w:val="21"/>
                <w:szCs w:val="21"/>
                <w:highlight w:val="none"/>
                <w:lang w:val="en-US" w:eastAsia="zh-CN" w:bidi="ar"/>
              </w:rPr>
              <w:t>H=9m</w:t>
            </w:r>
            <w:r>
              <w:rPr>
                <w:rStyle w:val="48"/>
                <w:color w:val="auto"/>
                <w:sz w:val="21"/>
                <w:szCs w:val="21"/>
                <w:highlight w:val="none"/>
                <w:lang w:val="en-US" w:eastAsia="zh-CN" w:bidi="ar"/>
              </w:rPr>
              <w:t>，</w:t>
            </w:r>
            <w:r>
              <w:rPr>
                <w:rStyle w:val="71"/>
                <w:rFonts w:eastAsia="宋体"/>
                <w:color w:val="auto"/>
                <w:sz w:val="21"/>
                <w:szCs w:val="21"/>
                <w:highlight w:val="none"/>
                <w:lang w:val="en-US" w:eastAsia="zh-CN" w:bidi="ar"/>
              </w:rPr>
              <w:t>P=11KW</w:t>
            </w:r>
            <w:r>
              <w:rPr>
                <w:rStyle w:val="48"/>
                <w:color w:val="auto"/>
                <w:sz w:val="21"/>
                <w:szCs w:val="21"/>
                <w:highlight w:val="none"/>
                <w:lang w:val="en-US" w:eastAsia="zh-CN" w:bidi="ar"/>
              </w:rPr>
              <w:t>，</w:t>
            </w:r>
          </w:p>
        </w:tc>
        <w:tc>
          <w:tcPr>
            <w:tcW w:w="480" w:type="pct"/>
            <w:tcBorders>
              <w:top w:val="nil"/>
              <w:left w:val="nil"/>
              <w:bottom w:val="single" w:color="000000" w:sz="4" w:space="0"/>
              <w:right w:val="single" w:color="000000" w:sz="4" w:space="0"/>
            </w:tcBorders>
            <w:shd w:val="clear" w:color="auto" w:fill="auto"/>
            <w:vAlign w:val="center"/>
          </w:tcPr>
          <w:p w14:paraId="1648BCA1">
            <w:pPr>
              <w:keepNext w:val="0"/>
              <w:keepLines w:val="0"/>
              <w:widowControl/>
              <w:suppressLineNumbers w:val="0"/>
              <w:jc w:val="center"/>
              <w:textAlignment w:val="center"/>
              <w:rPr>
                <w:rFonts w:ascii="宋体" w:hAnsi="宋体" w:cs="宋体"/>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316L</w:t>
            </w:r>
          </w:p>
        </w:tc>
        <w:tc>
          <w:tcPr>
            <w:tcW w:w="288" w:type="pct"/>
            <w:tcBorders>
              <w:top w:val="nil"/>
              <w:left w:val="nil"/>
              <w:bottom w:val="single" w:color="000000" w:sz="4" w:space="0"/>
              <w:right w:val="single" w:color="000000" w:sz="4" w:space="0"/>
            </w:tcBorders>
            <w:shd w:val="clear" w:color="auto" w:fill="auto"/>
            <w:vAlign w:val="center"/>
          </w:tcPr>
          <w:p w14:paraId="1DCC7A4D">
            <w:pPr>
              <w:keepNext w:val="0"/>
              <w:keepLines w:val="0"/>
              <w:widowControl/>
              <w:suppressLineNumbers w:val="0"/>
              <w:jc w:val="center"/>
              <w:textAlignment w:val="center"/>
              <w:rPr>
                <w:rFonts w:ascii="宋体" w:hAnsi="宋体" w:cs="宋体"/>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288" w:type="pct"/>
            <w:tcBorders>
              <w:top w:val="nil"/>
              <w:left w:val="nil"/>
              <w:bottom w:val="single" w:color="000000" w:sz="4" w:space="0"/>
              <w:right w:val="single" w:color="000000" w:sz="4" w:space="0"/>
            </w:tcBorders>
            <w:shd w:val="clear" w:color="auto" w:fill="auto"/>
            <w:vAlign w:val="center"/>
          </w:tcPr>
          <w:p w14:paraId="5425F724">
            <w:pPr>
              <w:keepNext w:val="0"/>
              <w:keepLines w:val="0"/>
              <w:widowControl/>
              <w:suppressLineNumbers w:val="0"/>
              <w:jc w:val="center"/>
              <w:textAlignment w:val="center"/>
              <w:rPr>
                <w:rFonts w:ascii="宋体" w:hAnsi="宋体" w:cs="宋体"/>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384" w:type="pct"/>
            <w:tcBorders>
              <w:top w:val="nil"/>
              <w:left w:val="nil"/>
              <w:bottom w:val="single" w:color="000000" w:sz="4" w:space="0"/>
              <w:right w:val="single" w:color="000000" w:sz="4" w:space="0"/>
            </w:tcBorders>
            <w:shd w:val="clear" w:color="auto" w:fill="auto"/>
            <w:noWrap/>
            <w:vAlign w:val="center"/>
          </w:tcPr>
          <w:p w14:paraId="4ADB94A1">
            <w:pPr>
              <w:keepNext w:val="0"/>
              <w:keepLines w:val="0"/>
              <w:widowControl/>
              <w:suppressLineNumbers w:val="0"/>
              <w:jc w:val="center"/>
              <w:textAlignment w:val="center"/>
              <w:rPr>
                <w:rFonts w:ascii="宋体" w:hAnsi="宋体" w:cs="宋体"/>
                <w:color w:val="auto"/>
                <w:kern w:val="0"/>
                <w:sz w:val="21"/>
                <w:szCs w:val="21"/>
                <w:highlight w:val="none"/>
              </w:rPr>
            </w:pPr>
            <w:r>
              <w:rPr>
                <w:rFonts w:hint="eastAsia" w:eastAsia="微软雅黑" w:cs="Times New Roman"/>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用</w:t>
            </w:r>
            <w:r>
              <w:rPr>
                <w:rFonts w:hint="eastAsia" w:eastAsia="微软雅黑" w:cs="Times New Roman"/>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备</w:t>
            </w:r>
          </w:p>
        </w:tc>
        <w:tc>
          <w:tcPr>
            <w:tcW w:w="605" w:type="pct"/>
            <w:vMerge w:val="restart"/>
            <w:tcBorders>
              <w:top w:val="nil"/>
              <w:left w:val="single" w:color="000000" w:sz="4" w:space="0"/>
              <w:bottom w:val="single" w:color="000000" w:sz="4" w:space="0"/>
              <w:right w:val="single" w:color="000000" w:sz="4" w:space="0"/>
            </w:tcBorders>
            <w:shd w:val="clear" w:color="auto" w:fill="auto"/>
            <w:vAlign w:val="center"/>
          </w:tcPr>
          <w:p w14:paraId="2D6BA27B">
            <w:pPr>
              <w:widowControl/>
              <w:snapToGrid w:val="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赛莱默（飞力）、格兰富、</w:t>
            </w:r>
            <w:r>
              <w:rPr>
                <w:rFonts w:ascii="宋体" w:hAnsi="宋体" w:cs="宋体"/>
                <w:color w:val="auto"/>
                <w:kern w:val="0"/>
                <w:sz w:val="21"/>
                <w:szCs w:val="21"/>
                <w:highlight w:val="none"/>
              </w:rPr>
              <w:t>KSB、苏尔寿（ABS</w:t>
            </w:r>
            <w:r>
              <w:rPr>
                <w:rFonts w:hint="eastAsia" w:ascii="宋体" w:hAnsi="宋体" w:cs="宋体"/>
                <w:color w:val="auto"/>
                <w:kern w:val="0"/>
                <w:sz w:val="21"/>
                <w:szCs w:val="21"/>
                <w:highlight w:val="none"/>
              </w:rPr>
              <w:t>）或同等档次品牌</w:t>
            </w:r>
          </w:p>
        </w:tc>
      </w:tr>
      <w:tr w14:paraId="14E40B14">
        <w:tblPrEx>
          <w:tblCellMar>
            <w:top w:w="0" w:type="dxa"/>
            <w:left w:w="108" w:type="dxa"/>
            <w:bottom w:w="0" w:type="dxa"/>
            <w:right w:w="108" w:type="dxa"/>
          </w:tblCellMar>
        </w:tblPrEx>
        <w:trPr>
          <w:trHeight w:val="780" w:hRule="atLeast"/>
        </w:trPr>
        <w:tc>
          <w:tcPr>
            <w:tcW w:w="234" w:type="pct"/>
            <w:tcBorders>
              <w:top w:val="nil"/>
              <w:left w:val="single" w:color="000000" w:sz="4" w:space="0"/>
              <w:bottom w:val="single" w:color="000000" w:sz="4" w:space="0"/>
              <w:right w:val="single" w:color="000000" w:sz="4" w:space="0"/>
            </w:tcBorders>
            <w:shd w:val="clear" w:color="auto" w:fill="auto"/>
            <w:noWrap/>
            <w:vAlign w:val="center"/>
          </w:tcPr>
          <w:p w14:paraId="23131470">
            <w:pPr>
              <w:keepNext w:val="0"/>
              <w:keepLines w:val="0"/>
              <w:widowControl/>
              <w:suppressLineNumbers w:val="0"/>
              <w:jc w:val="center"/>
              <w:textAlignment w:val="center"/>
              <w:rPr>
                <w:rFonts w:ascii="宋体" w:hAnsi="宋体" w:cs="宋体"/>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723" w:type="pct"/>
            <w:tcBorders>
              <w:top w:val="nil"/>
              <w:left w:val="nil"/>
              <w:bottom w:val="single" w:color="000000" w:sz="4" w:space="0"/>
              <w:right w:val="single" w:color="000000" w:sz="4" w:space="0"/>
            </w:tcBorders>
            <w:shd w:val="clear" w:color="auto" w:fill="auto"/>
            <w:vAlign w:val="center"/>
          </w:tcPr>
          <w:p w14:paraId="3AE6176D">
            <w:pPr>
              <w:keepNext w:val="0"/>
              <w:keepLines w:val="0"/>
              <w:widowControl/>
              <w:suppressLineNumbers w:val="0"/>
              <w:jc w:val="center"/>
              <w:textAlignment w:val="center"/>
              <w:rPr>
                <w:rFonts w:ascii="宋体" w:hAnsi="宋体" w:cs="宋体"/>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废水调节池事故池</w:t>
            </w:r>
          </w:p>
        </w:tc>
        <w:tc>
          <w:tcPr>
            <w:tcW w:w="559" w:type="pct"/>
            <w:tcBorders>
              <w:top w:val="nil"/>
              <w:left w:val="nil"/>
              <w:bottom w:val="single" w:color="000000" w:sz="4" w:space="0"/>
              <w:right w:val="single" w:color="000000" w:sz="4" w:space="0"/>
            </w:tcBorders>
            <w:shd w:val="clear" w:color="auto" w:fill="auto"/>
            <w:vAlign w:val="center"/>
          </w:tcPr>
          <w:p w14:paraId="1F0289DC">
            <w:pPr>
              <w:keepNext w:val="0"/>
              <w:keepLines w:val="0"/>
              <w:widowControl/>
              <w:suppressLineNumbers w:val="0"/>
              <w:jc w:val="center"/>
              <w:textAlignment w:val="center"/>
              <w:rPr>
                <w:rFonts w:ascii="宋体" w:hAnsi="宋体" w:cs="宋体"/>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事故池提升泵</w:t>
            </w:r>
          </w:p>
        </w:tc>
        <w:tc>
          <w:tcPr>
            <w:tcW w:w="1434" w:type="pct"/>
            <w:tcBorders>
              <w:top w:val="nil"/>
              <w:left w:val="nil"/>
              <w:bottom w:val="single" w:color="000000" w:sz="4" w:space="0"/>
              <w:right w:val="single" w:color="000000" w:sz="4" w:space="0"/>
            </w:tcBorders>
            <w:shd w:val="clear" w:color="auto" w:fill="auto"/>
            <w:vAlign w:val="center"/>
          </w:tcPr>
          <w:p w14:paraId="57079E66">
            <w:pPr>
              <w:keepNext w:val="0"/>
              <w:keepLines w:val="0"/>
              <w:widowControl/>
              <w:suppressLineNumbers w:val="0"/>
              <w:jc w:val="center"/>
              <w:textAlignment w:val="center"/>
              <w:rPr>
                <w:rFonts w:ascii="宋体" w:hAnsi="宋体"/>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卧式离心泵</w:t>
            </w:r>
            <w:r>
              <w:rPr>
                <w:rStyle w:val="71"/>
                <w:rFonts w:eastAsia="宋体"/>
                <w:color w:val="auto"/>
                <w:sz w:val="21"/>
                <w:szCs w:val="21"/>
                <w:highlight w:val="none"/>
                <w:lang w:val="en-US" w:eastAsia="zh-CN" w:bidi="ar"/>
              </w:rPr>
              <w:t>,</w:t>
            </w:r>
            <w:r>
              <w:rPr>
                <w:rStyle w:val="48"/>
                <w:color w:val="auto"/>
                <w:sz w:val="21"/>
                <w:szCs w:val="21"/>
                <w:highlight w:val="none"/>
                <w:lang w:val="en-US" w:eastAsia="zh-CN" w:bidi="ar"/>
              </w:rPr>
              <w:t>变频，</w:t>
            </w:r>
            <w:r>
              <w:rPr>
                <w:rStyle w:val="71"/>
                <w:rFonts w:eastAsia="宋体"/>
                <w:color w:val="auto"/>
                <w:sz w:val="21"/>
                <w:szCs w:val="21"/>
                <w:highlight w:val="none"/>
                <w:lang w:val="en-US" w:eastAsia="zh-CN" w:bidi="ar"/>
              </w:rPr>
              <w:br w:type="textWrapping"/>
            </w:r>
            <w:r>
              <w:rPr>
                <w:rStyle w:val="71"/>
                <w:rFonts w:eastAsia="宋体"/>
                <w:color w:val="auto"/>
                <w:sz w:val="21"/>
                <w:szCs w:val="21"/>
                <w:highlight w:val="none"/>
                <w:lang w:val="en-US" w:eastAsia="zh-CN" w:bidi="ar"/>
              </w:rPr>
              <w:t>Q=270m3/h,H=8m,P=10.8kw</w:t>
            </w:r>
          </w:p>
        </w:tc>
        <w:tc>
          <w:tcPr>
            <w:tcW w:w="480" w:type="pct"/>
            <w:tcBorders>
              <w:top w:val="nil"/>
              <w:left w:val="nil"/>
              <w:bottom w:val="single" w:color="000000" w:sz="4" w:space="0"/>
              <w:right w:val="single" w:color="000000" w:sz="4" w:space="0"/>
            </w:tcBorders>
            <w:shd w:val="clear" w:color="auto" w:fill="auto"/>
            <w:vAlign w:val="center"/>
          </w:tcPr>
          <w:p w14:paraId="32E52D88">
            <w:pPr>
              <w:keepNext w:val="0"/>
              <w:keepLines w:val="0"/>
              <w:widowControl/>
              <w:suppressLineNumbers w:val="0"/>
              <w:jc w:val="center"/>
              <w:textAlignment w:val="center"/>
              <w:rPr>
                <w:rFonts w:ascii="宋体" w:hAnsi="宋体" w:cs="宋体"/>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316L</w:t>
            </w:r>
          </w:p>
        </w:tc>
        <w:tc>
          <w:tcPr>
            <w:tcW w:w="288" w:type="pct"/>
            <w:tcBorders>
              <w:top w:val="nil"/>
              <w:left w:val="nil"/>
              <w:bottom w:val="single" w:color="000000" w:sz="4" w:space="0"/>
              <w:right w:val="single" w:color="000000" w:sz="4" w:space="0"/>
            </w:tcBorders>
            <w:shd w:val="clear" w:color="auto" w:fill="auto"/>
            <w:vAlign w:val="center"/>
          </w:tcPr>
          <w:p w14:paraId="4EC080E9">
            <w:pPr>
              <w:keepNext w:val="0"/>
              <w:keepLines w:val="0"/>
              <w:widowControl/>
              <w:suppressLineNumbers w:val="0"/>
              <w:jc w:val="center"/>
              <w:textAlignment w:val="center"/>
              <w:rPr>
                <w:rFonts w:ascii="宋体" w:hAnsi="宋体" w:cs="宋体"/>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288" w:type="pct"/>
            <w:tcBorders>
              <w:top w:val="nil"/>
              <w:left w:val="nil"/>
              <w:bottom w:val="single" w:color="000000" w:sz="4" w:space="0"/>
              <w:right w:val="single" w:color="000000" w:sz="4" w:space="0"/>
            </w:tcBorders>
            <w:shd w:val="clear" w:color="auto" w:fill="auto"/>
            <w:vAlign w:val="center"/>
          </w:tcPr>
          <w:p w14:paraId="4E24E295">
            <w:pPr>
              <w:keepNext w:val="0"/>
              <w:keepLines w:val="0"/>
              <w:widowControl/>
              <w:suppressLineNumbers w:val="0"/>
              <w:jc w:val="center"/>
              <w:textAlignment w:val="center"/>
              <w:rPr>
                <w:rFonts w:ascii="宋体" w:hAnsi="宋体" w:cs="宋体"/>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84" w:type="pct"/>
            <w:tcBorders>
              <w:top w:val="nil"/>
              <w:left w:val="nil"/>
              <w:bottom w:val="single" w:color="000000" w:sz="4" w:space="0"/>
              <w:right w:val="single" w:color="000000" w:sz="4" w:space="0"/>
            </w:tcBorders>
            <w:shd w:val="clear" w:color="000000" w:fill="FFFFFF"/>
            <w:noWrap/>
            <w:vAlign w:val="center"/>
          </w:tcPr>
          <w:p w14:paraId="51A571F0">
            <w:pPr>
              <w:keepNext w:val="0"/>
              <w:keepLines w:val="0"/>
              <w:widowControl/>
              <w:suppressLineNumbers w:val="0"/>
              <w:jc w:val="center"/>
              <w:textAlignment w:val="center"/>
              <w:rPr>
                <w:rFonts w:ascii="宋体" w:hAnsi="宋体" w:cs="宋体"/>
                <w:color w:val="auto"/>
                <w:kern w:val="0"/>
                <w:sz w:val="21"/>
                <w:szCs w:val="21"/>
                <w:highlight w:val="none"/>
              </w:rPr>
            </w:pPr>
          </w:p>
        </w:tc>
        <w:tc>
          <w:tcPr>
            <w:tcW w:w="605" w:type="pct"/>
            <w:vMerge w:val="continue"/>
            <w:tcBorders>
              <w:top w:val="nil"/>
              <w:left w:val="single" w:color="000000" w:sz="4" w:space="0"/>
              <w:bottom w:val="single" w:color="000000" w:sz="4" w:space="0"/>
              <w:right w:val="single" w:color="000000" w:sz="4" w:space="0"/>
            </w:tcBorders>
            <w:vAlign w:val="center"/>
          </w:tcPr>
          <w:p w14:paraId="73FF79CB">
            <w:pPr>
              <w:widowControl/>
              <w:snapToGrid w:val="0"/>
              <w:jc w:val="center"/>
              <w:rPr>
                <w:rFonts w:ascii="宋体" w:hAnsi="宋体" w:cs="宋体"/>
                <w:color w:val="auto"/>
                <w:kern w:val="0"/>
                <w:sz w:val="21"/>
                <w:szCs w:val="21"/>
                <w:highlight w:val="none"/>
              </w:rPr>
            </w:pPr>
          </w:p>
        </w:tc>
      </w:tr>
      <w:tr w14:paraId="5331C32E">
        <w:tblPrEx>
          <w:tblCellMar>
            <w:top w:w="0" w:type="dxa"/>
            <w:left w:w="108" w:type="dxa"/>
            <w:bottom w:w="0" w:type="dxa"/>
            <w:right w:w="108" w:type="dxa"/>
          </w:tblCellMar>
        </w:tblPrEx>
        <w:trPr>
          <w:trHeight w:val="530" w:hRule="atLeast"/>
        </w:trPr>
        <w:tc>
          <w:tcPr>
            <w:tcW w:w="234" w:type="pct"/>
            <w:tcBorders>
              <w:top w:val="nil"/>
              <w:left w:val="single" w:color="000000" w:sz="4" w:space="0"/>
              <w:bottom w:val="single" w:color="000000" w:sz="4" w:space="0"/>
              <w:right w:val="single" w:color="000000" w:sz="4" w:space="0"/>
            </w:tcBorders>
            <w:shd w:val="clear" w:color="000000" w:fill="FFFFFF"/>
            <w:noWrap/>
            <w:vAlign w:val="center"/>
          </w:tcPr>
          <w:p w14:paraId="78DD3A86">
            <w:pPr>
              <w:keepNext w:val="0"/>
              <w:keepLines w:val="0"/>
              <w:widowControl/>
              <w:suppressLineNumbers w:val="0"/>
              <w:jc w:val="center"/>
              <w:textAlignment w:val="center"/>
              <w:rPr>
                <w:rFonts w:ascii="宋体" w:hAnsi="宋体" w:cs="宋体"/>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723" w:type="pct"/>
            <w:tcBorders>
              <w:top w:val="nil"/>
              <w:left w:val="nil"/>
              <w:bottom w:val="single" w:color="000000" w:sz="4" w:space="0"/>
              <w:right w:val="single" w:color="000000" w:sz="4" w:space="0"/>
            </w:tcBorders>
            <w:shd w:val="clear" w:color="000000" w:fill="FFFFFF"/>
            <w:vAlign w:val="center"/>
          </w:tcPr>
          <w:p w14:paraId="2999950B">
            <w:pPr>
              <w:keepNext w:val="0"/>
              <w:keepLines w:val="0"/>
              <w:widowControl/>
              <w:suppressLineNumbers w:val="0"/>
              <w:jc w:val="center"/>
              <w:textAlignment w:val="center"/>
              <w:rPr>
                <w:rFonts w:ascii="宋体" w:hAnsi="宋体" w:cs="宋体"/>
                <w:color w:val="auto"/>
                <w:kern w:val="0"/>
                <w:sz w:val="21"/>
                <w:szCs w:val="21"/>
                <w:highlight w:val="none"/>
              </w:rPr>
            </w:pPr>
            <w:r>
              <w:rPr>
                <w:rFonts w:ascii="宋体" w:hAnsi="宋体" w:eastAsia="宋体" w:cs="宋体"/>
                <w:i w:val="0"/>
                <w:iCs w:val="0"/>
                <w:color w:val="auto"/>
                <w:kern w:val="0"/>
                <w:sz w:val="21"/>
                <w:szCs w:val="21"/>
                <w:highlight w:val="none"/>
                <w:u w:val="none"/>
                <w:lang w:val="en-US" w:eastAsia="zh-CN" w:bidi="ar"/>
              </w:rPr>
              <w:t>化学软化反应沉淀池</w:t>
            </w:r>
          </w:p>
        </w:tc>
        <w:tc>
          <w:tcPr>
            <w:tcW w:w="559" w:type="pct"/>
            <w:tcBorders>
              <w:top w:val="nil"/>
              <w:left w:val="nil"/>
              <w:bottom w:val="single" w:color="000000" w:sz="4" w:space="0"/>
              <w:right w:val="single" w:color="000000" w:sz="4" w:space="0"/>
            </w:tcBorders>
            <w:shd w:val="clear" w:color="000000" w:fill="FFFFFF"/>
            <w:vAlign w:val="center"/>
          </w:tcPr>
          <w:p w14:paraId="519F54F8">
            <w:pPr>
              <w:keepNext w:val="0"/>
              <w:keepLines w:val="0"/>
              <w:widowControl/>
              <w:suppressLineNumbers w:val="0"/>
              <w:jc w:val="center"/>
              <w:textAlignment w:val="center"/>
              <w:rPr>
                <w:rFonts w:ascii="宋体" w:hAnsi="宋体" w:cs="宋体"/>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排泥泵</w:t>
            </w:r>
          </w:p>
        </w:tc>
        <w:tc>
          <w:tcPr>
            <w:tcW w:w="1434" w:type="pct"/>
            <w:tcBorders>
              <w:top w:val="nil"/>
              <w:left w:val="nil"/>
              <w:bottom w:val="single" w:color="000000" w:sz="4" w:space="0"/>
              <w:right w:val="single" w:color="000000" w:sz="4" w:space="0"/>
            </w:tcBorders>
            <w:shd w:val="clear" w:color="000000" w:fill="FFFFFF"/>
            <w:vAlign w:val="center"/>
          </w:tcPr>
          <w:p w14:paraId="72D0A7C9">
            <w:pPr>
              <w:keepNext w:val="0"/>
              <w:keepLines w:val="0"/>
              <w:widowControl/>
              <w:suppressLineNumbers w:val="0"/>
              <w:jc w:val="center"/>
              <w:textAlignment w:val="center"/>
              <w:rPr>
                <w:rFonts w:ascii="宋体" w:hAnsi="宋体" w:cs="宋体"/>
                <w:color w:val="auto"/>
                <w:kern w:val="0"/>
                <w:sz w:val="21"/>
                <w:szCs w:val="21"/>
                <w:highlight w:val="none"/>
              </w:rPr>
            </w:pPr>
            <w:r>
              <w:rPr>
                <w:rFonts w:hint="default" w:ascii="Times New Roman" w:hAnsi="Times New Roman" w:eastAsia="微软雅黑" w:cs="Times New Roman"/>
                <w:i w:val="0"/>
                <w:iCs w:val="0"/>
                <w:color w:val="auto"/>
                <w:kern w:val="0"/>
                <w:sz w:val="21"/>
                <w:szCs w:val="21"/>
                <w:highlight w:val="none"/>
                <w:u w:val="none"/>
                <w:lang w:val="en-US" w:eastAsia="zh-CN" w:bidi="ar"/>
              </w:rPr>
              <w:t>Q=60m3/h</w:t>
            </w:r>
            <w:r>
              <w:rPr>
                <w:rFonts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微软雅黑" w:cs="Times New Roman"/>
                <w:i w:val="0"/>
                <w:iCs w:val="0"/>
                <w:color w:val="auto"/>
                <w:kern w:val="0"/>
                <w:sz w:val="21"/>
                <w:szCs w:val="21"/>
                <w:highlight w:val="none"/>
                <w:u w:val="none"/>
                <w:lang w:val="en-US" w:eastAsia="zh-CN" w:bidi="ar"/>
              </w:rPr>
              <w:t>H=7m</w:t>
            </w:r>
            <w:r>
              <w:rPr>
                <w:rFonts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微软雅黑" w:cs="Times New Roman"/>
                <w:i w:val="0"/>
                <w:iCs w:val="0"/>
                <w:color w:val="auto"/>
                <w:kern w:val="0"/>
                <w:sz w:val="21"/>
                <w:szCs w:val="21"/>
                <w:highlight w:val="none"/>
                <w:u w:val="none"/>
                <w:lang w:val="en-US" w:eastAsia="zh-CN" w:bidi="ar"/>
              </w:rPr>
              <w:t>N=1.9kw，变频</w:t>
            </w:r>
          </w:p>
        </w:tc>
        <w:tc>
          <w:tcPr>
            <w:tcW w:w="480" w:type="pct"/>
            <w:tcBorders>
              <w:top w:val="nil"/>
              <w:left w:val="nil"/>
              <w:bottom w:val="single" w:color="000000" w:sz="4" w:space="0"/>
              <w:right w:val="single" w:color="000000" w:sz="4" w:space="0"/>
            </w:tcBorders>
            <w:shd w:val="clear" w:color="000000" w:fill="FFFFFF"/>
            <w:vAlign w:val="center"/>
          </w:tcPr>
          <w:p w14:paraId="53205437">
            <w:pPr>
              <w:keepNext w:val="0"/>
              <w:keepLines w:val="0"/>
              <w:widowControl/>
              <w:suppressLineNumbers w:val="0"/>
              <w:jc w:val="center"/>
              <w:textAlignment w:val="center"/>
              <w:rPr>
                <w:rFonts w:ascii="宋体" w:hAnsi="宋体" w:cs="宋体"/>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SUS316L</w:t>
            </w:r>
          </w:p>
        </w:tc>
        <w:tc>
          <w:tcPr>
            <w:tcW w:w="288" w:type="pct"/>
            <w:tcBorders>
              <w:top w:val="nil"/>
              <w:left w:val="nil"/>
              <w:bottom w:val="single" w:color="000000" w:sz="4" w:space="0"/>
              <w:right w:val="single" w:color="000000" w:sz="4" w:space="0"/>
            </w:tcBorders>
            <w:shd w:val="clear" w:color="000000" w:fill="FFFFFF"/>
            <w:vAlign w:val="center"/>
          </w:tcPr>
          <w:p w14:paraId="458A191C">
            <w:pPr>
              <w:keepNext w:val="0"/>
              <w:keepLines w:val="0"/>
              <w:widowControl/>
              <w:suppressLineNumbers w:val="0"/>
              <w:jc w:val="center"/>
              <w:textAlignment w:val="center"/>
              <w:rPr>
                <w:rFonts w:ascii="宋体" w:hAnsi="宋体" w:cs="宋体"/>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288" w:type="pct"/>
            <w:tcBorders>
              <w:top w:val="nil"/>
              <w:left w:val="nil"/>
              <w:bottom w:val="single" w:color="000000" w:sz="4" w:space="0"/>
              <w:right w:val="single" w:color="000000" w:sz="4" w:space="0"/>
            </w:tcBorders>
            <w:shd w:val="clear" w:color="000000" w:fill="FFFFFF"/>
            <w:vAlign w:val="center"/>
          </w:tcPr>
          <w:p w14:paraId="69629322">
            <w:pPr>
              <w:keepNext w:val="0"/>
              <w:keepLines w:val="0"/>
              <w:widowControl/>
              <w:suppressLineNumbers w:val="0"/>
              <w:jc w:val="center"/>
              <w:textAlignment w:val="center"/>
              <w:rPr>
                <w:rFonts w:ascii="宋体" w:hAnsi="宋体" w:cs="宋体"/>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384" w:type="pct"/>
            <w:tcBorders>
              <w:top w:val="nil"/>
              <w:left w:val="nil"/>
              <w:bottom w:val="single" w:color="000000" w:sz="4" w:space="0"/>
              <w:right w:val="single" w:color="000000" w:sz="4" w:space="0"/>
            </w:tcBorders>
            <w:shd w:val="clear" w:color="000000" w:fill="FFFFFF"/>
            <w:noWrap/>
            <w:vAlign w:val="center"/>
          </w:tcPr>
          <w:p w14:paraId="4FCE873D">
            <w:pPr>
              <w:keepNext w:val="0"/>
              <w:keepLines w:val="0"/>
              <w:widowControl/>
              <w:suppressLineNumbers w:val="0"/>
              <w:jc w:val="center"/>
              <w:textAlignment w:val="center"/>
              <w:rPr>
                <w:rFonts w:ascii="宋体" w:hAnsi="宋体" w:cs="宋体"/>
                <w:color w:val="auto"/>
                <w:kern w:val="0"/>
                <w:sz w:val="21"/>
                <w:szCs w:val="21"/>
                <w:highlight w:val="none"/>
              </w:rPr>
            </w:pPr>
            <w:r>
              <w:rPr>
                <w:rFonts w:hint="eastAsia" w:eastAsia="微软雅黑" w:cs="Times New Roman"/>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用</w:t>
            </w:r>
            <w:r>
              <w:rPr>
                <w:rFonts w:hint="eastAsia" w:eastAsia="微软雅黑" w:cs="Times New Roman"/>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备</w:t>
            </w:r>
          </w:p>
        </w:tc>
        <w:tc>
          <w:tcPr>
            <w:tcW w:w="605" w:type="pct"/>
            <w:vMerge w:val="continue"/>
            <w:tcBorders>
              <w:top w:val="nil"/>
              <w:left w:val="single" w:color="000000" w:sz="4" w:space="0"/>
              <w:bottom w:val="single" w:color="000000" w:sz="4" w:space="0"/>
              <w:right w:val="single" w:color="000000" w:sz="4" w:space="0"/>
            </w:tcBorders>
            <w:vAlign w:val="center"/>
          </w:tcPr>
          <w:p w14:paraId="3180F98C">
            <w:pPr>
              <w:widowControl/>
              <w:snapToGrid w:val="0"/>
              <w:jc w:val="center"/>
              <w:rPr>
                <w:rFonts w:ascii="宋体" w:hAnsi="宋体" w:cs="宋体"/>
                <w:color w:val="auto"/>
                <w:kern w:val="0"/>
                <w:sz w:val="21"/>
                <w:szCs w:val="21"/>
                <w:highlight w:val="none"/>
              </w:rPr>
            </w:pPr>
          </w:p>
        </w:tc>
      </w:tr>
      <w:tr w14:paraId="37D8AA4A">
        <w:tblPrEx>
          <w:tblCellMar>
            <w:top w:w="0" w:type="dxa"/>
            <w:left w:w="108" w:type="dxa"/>
            <w:bottom w:w="0" w:type="dxa"/>
            <w:right w:w="108" w:type="dxa"/>
          </w:tblCellMar>
        </w:tblPrEx>
        <w:trPr>
          <w:trHeight w:val="530" w:hRule="atLeast"/>
        </w:trPr>
        <w:tc>
          <w:tcPr>
            <w:tcW w:w="234" w:type="pct"/>
            <w:tcBorders>
              <w:top w:val="nil"/>
              <w:left w:val="single" w:color="000000" w:sz="4" w:space="0"/>
              <w:bottom w:val="single" w:color="000000" w:sz="4" w:space="0"/>
              <w:right w:val="single" w:color="000000" w:sz="4" w:space="0"/>
            </w:tcBorders>
            <w:shd w:val="clear" w:color="000000" w:fill="FFFFFF"/>
            <w:noWrap/>
            <w:vAlign w:val="center"/>
          </w:tcPr>
          <w:p w14:paraId="1539B2F9">
            <w:pPr>
              <w:keepNext w:val="0"/>
              <w:keepLines w:val="0"/>
              <w:widowControl/>
              <w:suppressLineNumbers w:val="0"/>
              <w:jc w:val="center"/>
              <w:textAlignment w:val="center"/>
              <w:rPr>
                <w:rFonts w:ascii="宋体" w:hAnsi="宋体" w:cs="宋体"/>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723" w:type="pct"/>
            <w:tcBorders>
              <w:top w:val="nil"/>
              <w:left w:val="nil"/>
              <w:bottom w:val="single" w:color="000000" w:sz="4" w:space="0"/>
              <w:right w:val="single" w:color="000000" w:sz="4" w:space="0"/>
            </w:tcBorders>
            <w:shd w:val="clear" w:color="000000" w:fill="FFFFFF"/>
            <w:vAlign w:val="center"/>
          </w:tcPr>
          <w:p w14:paraId="00B99A6D">
            <w:pPr>
              <w:keepNext w:val="0"/>
              <w:keepLines w:val="0"/>
              <w:widowControl/>
              <w:suppressLineNumbers w:val="0"/>
              <w:jc w:val="center"/>
              <w:textAlignment w:val="center"/>
              <w:rPr>
                <w:rFonts w:ascii="宋体" w:hAnsi="宋体" w:cs="宋体"/>
                <w:color w:val="auto"/>
                <w:kern w:val="0"/>
                <w:sz w:val="21"/>
                <w:szCs w:val="21"/>
                <w:highlight w:val="none"/>
              </w:rPr>
            </w:pPr>
            <w:r>
              <w:rPr>
                <w:rStyle w:val="48"/>
                <w:color w:val="auto"/>
                <w:sz w:val="21"/>
                <w:szCs w:val="21"/>
                <w:highlight w:val="none"/>
                <w:lang w:val="en-US" w:eastAsia="zh-CN" w:bidi="ar"/>
              </w:rPr>
              <w:t>生化池及</w:t>
            </w:r>
            <w:r>
              <w:rPr>
                <w:rStyle w:val="71"/>
                <w:rFonts w:eastAsia="微软雅黑"/>
                <w:color w:val="auto"/>
                <w:sz w:val="21"/>
                <w:szCs w:val="21"/>
                <w:highlight w:val="none"/>
                <w:lang w:val="en-US" w:eastAsia="zh-CN" w:bidi="ar"/>
              </w:rPr>
              <w:t>MBR</w:t>
            </w:r>
            <w:r>
              <w:rPr>
                <w:rStyle w:val="48"/>
                <w:color w:val="auto"/>
                <w:sz w:val="21"/>
                <w:szCs w:val="21"/>
                <w:highlight w:val="none"/>
                <w:lang w:val="en-US" w:eastAsia="zh-CN" w:bidi="ar"/>
              </w:rPr>
              <w:t>池</w:t>
            </w:r>
          </w:p>
        </w:tc>
        <w:tc>
          <w:tcPr>
            <w:tcW w:w="559" w:type="pct"/>
            <w:tcBorders>
              <w:top w:val="nil"/>
              <w:left w:val="nil"/>
              <w:bottom w:val="single" w:color="000000" w:sz="4" w:space="0"/>
              <w:right w:val="single" w:color="000000" w:sz="4" w:space="0"/>
            </w:tcBorders>
            <w:shd w:val="clear" w:color="000000" w:fill="FFFFFF"/>
            <w:vAlign w:val="center"/>
          </w:tcPr>
          <w:p w14:paraId="19DDBDA5">
            <w:pPr>
              <w:keepNext w:val="0"/>
              <w:keepLines w:val="0"/>
              <w:widowControl/>
              <w:suppressLineNumbers w:val="0"/>
              <w:jc w:val="center"/>
              <w:textAlignment w:val="center"/>
              <w:rPr>
                <w:rFonts w:ascii="宋体" w:hAnsi="宋体" w:cs="宋体"/>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生化池内回流泵</w:t>
            </w:r>
          </w:p>
        </w:tc>
        <w:tc>
          <w:tcPr>
            <w:tcW w:w="1434" w:type="pct"/>
            <w:tcBorders>
              <w:top w:val="nil"/>
              <w:left w:val="nil"/>
              <w:bottom w:val="single" w:color="000000" w:sz="4" w:space="0"/>
              <w:right w:val="single" w:color="000000" w:sz="4" w:space="0"/>
            </w:tcBorders>
            <w:shd w:val="clear" w:color="000000" w:fill="FFFFFF"/>
            <w:vAlign w:val="center"/>
          </w:tcPr>
          <w:p w14:paraId="3233F4A3">
            <w:pPr>
              <w:keepNext w:val="0"/>
              <w:keepLines w:val="0"/>
              <w:widowControl/>
              <w:suppressLineNumbers w:val="0"/>
              <w:jc w:val="center"/>
              <w:textAlignment w:val="center"/>
              <w:rPr>
                <w:rFonts w:ascii="宋体" w:hAnsi="宋体" w:cs="宋体"/>
                <w:color w:val="auto"/>
                <w:kern w:val="0"/>
                <w:sz w:val="21"/>
                <w:szCs w:val="21"/>
                <w:highlight w:val="none"/>
              </w:rPr>
            </w:pPr>
            <w:r>
              <w:rPr>
                <w:rFonts w:ascii="宋体" w:hAnsi="宋体" w:eastAsia="宋体" w:cs="宋体"/>
                <w:i w:val="0"/>
                <w:iCs w:val="0"/>
                <w:color w:val="auto"/>
                <w:kern w:val="0"/>
                <w:sz w:val="21"/>
                <w:szCs w:val="21"/>
                <w:highlight w:val="none"/>
                <w:u w:val="none"/>
                <w:lang w:val="en-US" w:eastAsia="zh-CN" w:bidi="ar"/>
              </w:rPr>
              <w:t>Q=521m3/h H=3.1m N=15kW，变频</w:t>
            </w:r>
          </w:p>
        </w:tc>
        <w:tc>
          <w:tcPr>
            <w:tcW w:w="480" w:type="pct"/>
            <w:tcBorders>
              <w:top w:val="nil"/>
              <w:left w:val="nil"/>
              <w:bottom w:val="single" w:color="000000" w:sz="4" w:space="0"/>
              <w:right w:val="single" w:color="000000" w:sz="4" w:space="0"/>
            </w:tcBorders>
            <w:shd w:val="clear" w:color="000000" w:fill="FFFFFF"/>
            <w:vAlign w:val="center"/>
          </w:tcPr>
          <w:p w14:paraId="452BEBE8">
            <w:pPr>
              <w:keepNext w:val="0"/>
              <w:keepLines w:val="0"/>
              <w:widowControl/>
              <w:suppressLineNumbers w:val="0"/>
              <w:jc w:val="center"/>
              <w:textAlignment w:val="center"/>
              <w:rPr>
                <w:rFonts w:ascii="宋体" w:hAnsi="宋体" w:cs="宋体"/>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316L</w:t>
            </w:r>
          </w:p>
        </w:tc>
        <w:tc>
          <w:tcPr>
            <w:tcW w:w="288" w:type="pct"/>
            <w:tcBorders>
              <w:top w:val="nil"/>
              <w:left w:val="nil"/>
              <w:bottom w:val="single" w:color="000000" w:sz="4" w:space="0"/>
              <w:right w:val="single" w:color="000000" w:sz="4" w:space="0"/>
            </w:tcBorders>
            <w:shd w:val="clear" w:color="000000" w:fill="FFFFFF"/>
            <w:vAlign w:val="center"/>
          </w:tcPr>
          <w:p w14:paraId="14E64976">
            <w:pPr>
              <w:keepNext w:val="0"/>
              <w:keepLines w:val="0"/>
              <w:widowControl/>
              <w:suppressLineNumbers w:val="0"/>
              <w:jc w:val="center"/>
              <w:textAlignment w:val="center"/>
              <w:rPr>
                <w:rFonts w:ascii="宋体" w:hAnsi="宋体" w:cs="宋体"/>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288" w:type="pct"/>
            <w:tcBorders>
              <w:top w:val="nil"/>
              <w:left w:val="nil"/>
              <w:bottom w:val="single" w:color="000000" w:sz="4" w:space="0"/>
              <w:right w:val="single" w:color="000000" w:sz="4" w:space="0"/>
            </w:tcBorders>
            <w:shd w:val="clear" w:color="000000" w:fill="FFFFFF"/>
            <w:vAlign w:val="center"/>
          </w:tcPr>
          <w:p w14:paraId="4FD7A456">
            <w:pPr>
              <w:keepNext w:val="0"/>
              <w:keepLines w:val="0"/>
              <w:widowControl/>
              <w:suppressLineNumbers w:val="0"/>
              <w:jc w:val="center"/>
              <w:textAlignment w:val="center"/>
              <w:rPr>
                <w:rFonts w:ascii="宋体" w:hAnsi="宋体" w:cs="宋体"/>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384" w:type="pct"/>
            <w:tcBorders>
              <w:top w:val="nil"/>
              <w:left w:val="nil"/>
              <w:bottom w:val="single" w:color="000000" w:sz="4" w:space="0"/>
              <w:right w:val="single" w:color="000000" w:sz="4" w:space="0"/>
            </w:tcBorders>
            <w:shd w:val="clear" w:color="000000" w:fill="FFFFFF"/>
            <w:noWrap/>
            <w:vAlign w:val="center"/>
          </w:tcPr>
          <w:p w14:paraId="734CEFDB">
            <w:pPr>
              <w:keepNext w:val="0"/>
              <w:keepLines w:val="0"/>
              <w:widowControl/>
              <w:suppressLineNumbers w:val="0"/>
              <w:jc w:val="center"/>
              <w:textAlignment w:val="center"/>
              <w:rPr>
                <w:rFonts w:ascii="宋体" w:hAnsi="宋体" w:cs="宋体"/>
                <w:color w:val="auto"/>
                <w:kern w:val="0"/>
                <w:sz w:val="21"/>
                <w:szCs w:val="21"/>
                <w:highlight w:val="none"/>
              </w:rPr>
            </w:pP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用</w:t>
            </w: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冷备</w:t>
            </w:r>
          </w:p>
        </w:tc>
        <w:tc>
          <w:tcPr>
            <w:tcW w:w="605" w:type="pct"/>
            <w:vMerge w:val="continue"/>
            <w:tcBorders>
              <w:top w:val="nil"/>
              <w:left w:val="single" w:color="000000" w:sz="4" w:space="0"/>
              <w:bottom w:val="single" w:color="000000" w:sz="4" w:space="0"/>
              <w:right w:val="single" w:color="000000" w:sz="4" w:space="0"/>
            </w:tcBorders>
            <w:vAlign w:val="center"/>
          </w:tcPr>
          <w:p w14:paraId="038953DC">
            <w:pPr>
              <w:widowControl/>
              <w:snapToGrid w:val="0"/>
              <w:jc w:val="center"/>
              <w:rPr>
                <w:rFonts w:ascii="宋体" w:hAnsi="宋体" w:cs="宋体"/>
                <w:color w:val="auto"/>
                <w:kern w:val="0"/>
                <w:sz w:val="21"/>
                <w:szCs w:val="21"/>
                <w:highlight w:val="none"/>
              </w:rPr>
            </w:pPr>
          </w:p>
        </w:tc>
      </w:tr>
      <w:tr w14:paraId="3A55D99B">
        <w:tblPrEx>
          <w:tblCellMar>
            <w:top w:w="0" w:type="dxa"/>
            <w:left w:w="108" w:type="dxa"/>
            <w:bottom w:w="0" w:type="dxa"/>
            <w:right w:w="108" w:type="dxa"/>
          </w:tblCellMar>
        </w:tblPrEx>
        <w:trPr>
          <w:trHeight w:val="540" w:hRule="atLeast"/>
        </w:trPr>
        <w:tc>
          <w:tcPr>
            <w:tcW w:w="234" w:type="pct"/>
            <w:tcBorders>
              <w:top w:val="nil"/>
              <w:left w:val="single" w:color="000000" w:sz="4" w:space="0"/>
              <w:bottom w:val="single" w:color="000000" w:sz="4" w:space="0"/>
              <w:right w:val="single" w:color="000000" w:sz="4" w:space="0"/>
            </w:tcBorders>
            <w:shd w:val="clear" w:color="000000" w:fill="FFFFFF"/>
            <w:noWrap/>
            <w:vAlign w:val="center"/>
          </w:tcPr>
          <w:p w14:paraId="301F007F">
            <w:pPr>
              <w:keepNext w:val="0"/>
              <w:keepLines w:val="0"/>
              <w:widowControl/>
              <w:suppressLineNumbers w:val="0"/>
              <w:jc w:val="center"/>
              <w:textAlignment w:val="center"/>
              <w:rPr>
                <w:rFonts w:ascii="宋体" w:hAnsi="宋体" w:cs="宋体"/>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723" w:type="pct"/>
            <w:tcBorders>
              <w:top w:val="nil"/>
              <w:left w:val="nil"/>
              <w:bottom w:val="single" w:color="000000" w:sz="4" w:space="0"/>
              <w:right w:val="single" w:color="000000" w:sz="4" w:space="0"/>
            </w:tcBorders>
            <w:shd w:val="clear" w:color="000000" w:fill="FFFFFF"/>
            <w:vAlign w:val="center"/>
          </w:tcPr>
          <w:p w14:paraId="0FC61ADA">
            <w:pPr>
              <w:keepNext w:val="0"/>
              <w:keepLines w:val="0"/>
              <w:widowControl/>
              <w:suppressLineNumbers w:val="0"/>
              <w:jc w:val="center"/>
              <w:textAlignment w:val="center"/>
              <w:rPr>
                <w:rFonts w:ascii="宋体" w:hAnsi="宋体" w:cs="宋体"/>
                <w:color w:val="auto"/>
                <w:kern w:val="0"/>
                <w:sz w:val="21"/>
                <w:szCs w:val="21"/>
                <w:highlight w:val="none"/>
              </w:rPr>
            </w:pPr>
            <w:r>
              <w:rPr>
                <w:rStyle w:val="48"/>
                <w:color w:val="auto"/>
                <w:sz w:val="21"/>
                <w:szCs w:val="21"/>
                <w:highlight w:val="none"/>
                <w:lang w:val="en-US" w:eastAsia="zh-CN" w:bidi="ar"/>
              </w:rPr>
              <w:t>浓水</w:t>
            </w:r>
            <w:r>
              <w:rPr>
                <w:rStyle w:val="71"/>
                <w:rFonts w:eastAsia="微软雅黑"/>
                <w:color w:val="auto"/>
                <w:sz w:val="21"/>
                <w:szCs w:val="21"/>
                <w:highlight w:val="none"/>
                <w:lang w:val="en-US" w:eastAsia="zh-CN" w:bidi="ar"/>
              </w:rPr>
              <w:t>MBBR</w:t>
            </w:r>
            <w:r>
              <w:rPr>
                <w:rStyle w:val="48"/>
                <w:color w:val="auto"/>
                <w:sz w:val="21"/>
                <w:szCs w:val="21"/>
                <w:highlight w:val="none"/>
                <w:lang w:val="en-US" w:eastAsia="zh-CN" w:bidi="ar"/>
              </w:rPr>
              <w:t>和</w:t>
            </w:r>
            <w:r>
              <w:rPr>
                <w:rStyle w:val="71"/>
                <w:rFonts w:eastAsia="微软雅黑"/>
                <w:color w:val="auto"/>
                <w:sz w:val="21"/>
                <w:szCs w:val="21"/>
                <w:highlight w:val="none"/>
                <w:lang w:val="en-US" w:eastAsia="zh-CN" w:bidi="ar"/>
              </w:rPr>
              <w:t>MBR</w:t>
            </w:r>
          </w:p>
        </w:tc>
        <w:tc>
          <w:tcPr>
            <w:tcW w:w="559" w:type="pct"/>
            <w:tcBorders>
              <w:top w:val="nil"/>
              <w:left w:val="nil"/>
              <w:bottom w:val="single" w:color="000000" w:sz="4" w:space="0"/>
              <w:right w:val="single" w:color="000000" w:sz="4" w:space="0"/>
            </w:tcBorders>
            <w:shd w:val="clear" w:color="000000" w:fill="FFFFFF"/>
            <w:vAlign w:val="center"/>
          </w:tcPr>
          <w:p w14:paraId="080C422B">
            <w:pPr>
              <w:keepNext w:val="0"/>
              <w:keepLines w:val="0"/>
              <w:widowControl/>
              <w:suppressLineNumbers w:val="0"/>
              <w:jc w:val="center"/>
              <w:textAlignment w:val="center"/>
              <w:rPr>
                <w:rFonts w:ascii="宋体" w:hAnsi="宋体" w:cs="宋体"/>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混合液回流泵</w:t>
            </w:r>
          </w:p>
        </w:tc>
        <w:tc>
          <w:tcPr>
            <w:tcW w:w="1434" w:type="pct"/>
            <w:tcBorders>
              <w:top w:val="nil"/>
              <w:left w:val="nil"/>
              <w:bottom w:val="single" w:color="000000" w:sz="4" w:space="0"/>
              <w:right w:val="single" w:color="000000" w:sz="4" w:space="0"/>
            </w:tcBorders>
            <w:shd w:val="clear" w:color="000000" w:fill="FFFFFF"/>
            <w:vAlign w:val="center"/>
          </w:tcPr>
          <w:p w14:paraId="231E78B7">
            <w:pPr>
              <w:keepNext w:val="0"/>
              <w:keepLines w:val="0"/>
              <w:widowControl/>
              <w:suppressLineNumbers w:val="0"/>
              <w:jc w:val="center"/>
              <w:textAlignment w:val="center"/>
              <w:rPr>
                <w:rFonts w:ascii="宋体" w:hAnsi="宋体"/>
                <w:color w:val="auto"/>
                <w:kern w:val="0"/>
                <w:sz w:val="21"/>
                <w:szCs w:val="21"/>
                <w:highlight w:val="none"/>
              </w:rPr>
            </w:pPr>
            <w:r>
              <w:rPr>
                <w:rFonts w:hint="default" w:ascii="Times New Roman" w:hAnsi="Times New Roman" w:eastAsia="微软雅黑" w:cs="Times New Roman"/>
                <w:i w:val="0"/>
                <w:iCs w:val="0"/>
                <w:color w:val="auto"/>
                <w:kern w:val="0"/>
                <w:sz w:val="21"/>
                <w:szCs w:val="21"/>
                <w:highlight w:val="none"/>
                <w:u w:val="none"/>
                <w:lang w:val="en-US" w:eastAsia="zh-CN" w:bidi="ar"/>
              </w:rPr>
              <w:t>Q=520m3/h</w:t>
            </w:r>
            <w:r>
              <w:rPr>
                <w:rFonts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微软雅黑" w:cs="Times New Roman"/>
                <w:i w:val="0"/>
                <w:iCs w:val="0"/>
                <w:color w:val="auto"/>
                <w:kern w:val="0"/>
                <w:sz w:val="21"/>
                <w:szCs w:val="21"/>
                <w:highlight w:val="none"/>
                <w:u w:val="none"/>
                <w:lang w:val="en-US" w:eastAsia="zh-CN" w:bidi="ar"/>
              </w:rPr>
              <w:t>H=3.5m</w:t>
            </w:r>
            <w:r>
              <w:rPr>
                <w:rFonts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微软雅黑" w:cs="Times New Roman"/>
                <w:i w:val="0"/>
                <w:iCs w:val="0"/>
                <w:color w:val="auto"/>
                <w:kern w:val="0"/>
                <w:sz w:val="21"/>
                <w:szCs w:val="21"/>
                <w:highlight w:val="none"/>
                <w:u w:val="none"/>
                <w:lang w:val="en-US" w:eastAsia="zh-CN" w:bidi="ar"/>
              </w:rPr>
              <w:t>P=15kW</w:t>
            </w:r>
          </w:p>
        </w:tc>
        <w:tc>
          <w:tcPr>
            <w:tcW w:w="480" w:type="pct"/>
            <w:tcBorders>
              <w:top w:val="nil"/>
              <w:left w:val="nil"/>
              <w:bottom w:val="single" w:color="000000" w:sz="4" w:space="0"/>
              <w:right w:val="single" w:color="000000" w:sz="4" w:space="0"/>
            </w:tcBorders>
            <w:shd w:val="clear" w:color="000000" w:fill="FFFFFF"/>
            <w:vAlign w:val="center"/>
          </w:tcPr>
          <w:p w14:paraId="60B50808">
            <w:pPr>
              <w:keepNext w:val="0"/>
              <w:keepLines w:val="0"/>
              <w:widowControl/>
              <w:suppressLineNumbers w:val="0"/>
              <w:jc w:val="center"/>
              <w:textAlignment w:val="center"/>
              <w:rPr>
                <w:rFonts w:ascii="宋体" w:hAnsi="宋体" w:cs="宋体"/>
                <w:color w:val="auto"/>
                <w:kern w:val="0"/>
                <w:sz w:val="21"/>
                <w:szCs w:val="21"/>
                <w:highlight w:val="none"/>
              </w:rPr>
            </w:pPr>
            <w:r>
              <w:rPr>
                <w:rFonts w:ascii="宋体" w:hAnsi="宋体" w:eastAsia="宋体" w:cs="宋体"/>
                <w:i w:val="0"/>
                <w:iCs w:val="0"/>
                <w:color w:val="auto"/>
                <w:kern w:val="0"/>
                <w:sz w:val="21"/>
                <w:szCs w:val="21"/>
                <w:highlight w:val="none"/>
                <w:u w:val="none"/>
                <w:lang w:val="en-US" w:eastAsia="zh-CN" w:bidi="ar"/>
              </w:rPr>
              <w:t>双相钢</w:t>
            </w:r>
          </w:p>
        </w:tc>
        <w:tc>
          <w:tcPr>
            <w:tcW w:w="288" w:type="pct"/>
            <w:tcBorders>
              <w:top w:val="nil"/>
              <w:left w:val="nil"/>
              <w:bottom w:val="single" w:color="000000" w:sz="4" w:space="0"/>
              <w:right w:val="single" w:color="000000" w:sz="4" w:space="0"/>
            </w:tcBorders>
            <w:shd w:val="clear" w:color="000000" w:fill="FFFFFF"/>
            <w:vAlign w:val="center"/>
          </w:tcPr>
          <w:p w14:paraId="1D4EC7A7">
            <w:pPr>
              <w:keepNext w:val="0"/>
              <w:keepLines w:val="0"/>
              <w:widowControl/>
              <w:suppressLineNumbers w:val="0"/>
              <w:jc w:val="center"/>
              <w:textAlignment w:val="center"/>
              <w:rPr>
                <w:rFonts w:ascii="宋体" w:hAnsi="宋体" w:cs="宋体"/>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288" w:type="pct"/>
            <w:tcBorders>
              <w:top w:val="nil"/>
              <w:left w:val="nil"/>
              <w:bottom w:val="single" w:color="000000" w:sz="4" w:space="0"/>
              <w:right w:val="single" w:color="000000" w:sz="4" w:space="0"/>
            </w:tcBorders>
            <w:shd w:val="clear" w:color="000000" w:fill="FFFFFF"/>
            <w:vAlign w:val="center"/>
          </w:tcPr>
          <w:p w14:paraId="7CEFF325">
            <w:pPr>
              <w:keepNext w:val="0"/>
              <w:keepLines w:val="0"/>
              <w:widowControl/>
              <w:suppressLineNumbers w:val="0"/>
              <w:jc w:val="center"/>
              <w:textAlignment w:val="center"/>
              <w:rPr>
                <w:rFonts w:ascii="宋体" w:hAnsi="宋体" w:cs="宋体"/>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84" w:type="pct"/>
            <w:tcBorders>
              <w:top w:val="nil"/>
              <w:left w:val="nil"/>
              <w:bottom w:val="single" w:color="000000" w:sz="4" w:space="0"/>
              <w:right w:val="single" w:color="000000" w:sz="4" w:space="0"/>
            </w:tcBorders>
            <w:shd w:val="clear" w:color="000000" w:fill="FFFFFF"/>
            <w:noWrap/>
            <w:vAlign w:val="center"/>
          </w:tcPr>
          <w:p w14:paraId="688230B3">
            <w:pPr>
              <w:keepNext w:val="0"/>
              <w:keepLines w:val="0"/>
              <w:widowControl/>
              <w:suppressLineNumbers w:val="0"/>
              <w:jc w:val="center"/>
              <w:textAlignment w:val="center"/>
              <w:rPr>
                <w:rFonts w:ascii="宋体" w:hAnsi="宋体" w:cs="宋体"/>
                <w:color w:val="auto"/>
                <w:kern w:val="0"/>
                <w:sz w:val="21"/>
                <w:szCs w:val="21"/>
                <w:highlight w:val="none"/>
              </w:rPr>
            </w:pPr>
          </w:p>
        </w:tc>
        <w:tc>
          <w:tcPr>
            <w:tcW w:w="605" w:type="pct"/>
            <w:vMerge w:val="continue"/>
            <w:tcBorders>
              <w:top w:val="nil"/>
              <w:left w:val="single" w:color="000000" w:sz="4" w:space="0"/>
              <w:bottom w:val="single" w:color="000000" w:sz="4" w:space="0"/>
              <w:right w:val="single" w:color="000000" w:sz="4" w:space="0"/>
            </w:tcBorders>
            <w:vAlign w:val="center"/>
          </w:tcPr>
          <w:p w14:paraId="70115C11">
            <w:pPr>
              <w:widowControl/>
              <w:snapToGrid w:val="0"/>
              <w:jc w:val="center"/>
              <w:rPr>
                <w:rFonts w:ascii="宋体" w:hAnsi="宋体" w:cs="宋体"/>
                <w:color w:val="auto"/>
                <w:kern w:val="0"/>
                <w:sz w:val="21"/>
                <w:szCs w:val="21"/>
                <w:highlight w:val="none"/>
              </w:rPr>
            </w:pPr>
          </w:p>
        </w:tc>
      </w:tr>
      <w:tr w14:paraId="1050E760">
        <w:tblPrEx>
          <w:tblCellMar>
            <w:top w:w="0" w:type="dxa"/>
            <w:left w:w="108" w:type="dxa"/>
            <w:bottom w:w="0" w:type="dxa"/>
            <w:right w:w="108" w:type="dxa"/>
          </w:tblCellMar>
        </w:tblPrEx>
        <w:trPr>
          <w:trHeight w:val="540" w:hRule="atLeast"/>
        </w:trPr>
        <w:tc>
          <w:tcPr>
            <w:tcW w:w="234" w:type="pct"/>
            <w:tcBorders>
              <w:top w:val="nil"/>
              <w:left w:val="single" w:color="000000" w:sz="4" w:space="0"/>
              <w:bottom w:val="single" w:color="000000" w:sz="4" w:space="0"/>
              <w:right w:val="single" w:color="000000" w:sz="4" w:space="0"/>
            </w:tcBorders>
            <w:shd w:val="clear" w:color="000000" w:fill="FFFFFF"/>
            <w:noWrap/>
            <w:vAlign w:val="center"/>
          </w:tcPr>
          <w:p w14:paraId="1FD867A3">
            <w:pPr>
              <w:keepNext w:val="0"/>
              <w:keepLines w:val="0"/>
              <w:widowControl/>
              <w:suppressLineNumbers w:val="0"/>
              <w:jc w:val="center"/>
              <w:textAlignment w:val="center"/>
              <w:rPr>
                <w:rFonts w:ascii="宋体" w:hAnsi="宋体" w:cs="宋体"/>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723" w:type="pct"/>
            <w:tcBorders>
              <w:top w:val="nil"/>
              <w:left w:val="single" w:color="000000" w:sz="4" w:space="0"/>
              <w:bottom w:val="single" w:color="000000" w:sz="4" w:space="0"/>
              <w:right w:val="single" w:color="000000" w:sz="4" w:space="0"/>
            </w:tcBorders>
            <w:shd w:val="clear" w:color="000000" w:fill="FFFFFF"/>
            <w:vAlign w:val="center"/>
          </w:tcPr>
          <w:p w14:paraId="7392A10C">
            <w:pPr>
              <w:keepNext w:val="0"/>
              <w:keepLines w:val="0"/>
              <w:widowControl/>
              <w:suppressLineNumbers w:val="0"/>
              <w:jc w:val="center"/>
              <w:textAlignment w:val="center"/>
              <w:rPr>
                <w:rFonts w:ascii="宋体" w:hAnsi="宋体" w:cs="宋体"/>
                <w:color w:val="auto"/>
                <w:kern w:val="0"/>
                <w:sz w:val="21"/>
                <w:szCs w:val="21"/>
                <w:highlight w:val="none"/>
              </w:rPr>
            </w:pPr>
            <w:r>
              <w:rPr>
                <w:rStyle w:val="71"/>
                <w:rFonts w:eastAsia="微软雅黑"/>
                <w:color w:val="auto"/>
                <w:sz w:val="21"/>
                <w:szCs w:val="21"/>
                <w:highlight w:val="none"/>
                <w:lang w:val="en-US" w:eastAsia="zh-CN" w:bidi="ar"/>
              </w:rPr>
              <w:t>RO</w:t>
            </w:r>
            <w:r>
              <w:rPr>
                <w:rStyle w:val="48"/>
                <w:color w:val="auto"/>
                <w:sz w:val="21"/>
                <w:szCs w:val="21"/>
                <w:highlight w:val="none"/>
                <w:lang w:val="en-US" w:eastAsia="zh-CN" w:bidi="ar"/>
              </w:rPr>
              <w:t>浓水池、提升泵房、紫外消毒池</w:t>
            </w:r>
          </w:p>
        </w:tc>
        <w:tc>
          <w:tcPr>
            <w:tcW w:w="559" w:type="pct"/>
            <w:tcBorders>
              <w:top w:val="nil"/>
              <w:left w:val="nil"/>
              <w:bottom w:val="single" w:color="000000" w:sz="4" w:space="0"/>
              <w:right w:val="single" w:color="000000" w:sz="4" w:space="0"/>
            </w:tcBorders>
            <w:shd w:val="clear" w:color="000000" w:fill="FFFFFF"/>
            <w:vAlign w:val="center"/>
          </w:tcPr>
          <w:p w14:paraId="5EB4CBB0">
            <w:pPr>
              <w:keepNext w:val="0"/>
              <w:keepLines w:val="0"/>
              <w:widowControl/>
              <w:suppressLineNumbers w:val="0"/>
              <w:jc w:val="center"/>
              <w:textAlignment w:val="center"/>
              <w:rPr>
                <w:rFonts w:ascii="宋体" w:hAnsi="宋体" w:cs="宋体"/>
                <w:color w:val="auto"/>
                <w:kern w:val="0"/>
                <w:sz w:val="21"/>
                <w:szCs w:val="21"/>
                <w:highlight w:val="none"/>
              </w:rPr>
            </w:pPr>
            <w:r>
              <w:rPr>
                <w:rStyle w:val="72"/>
                <w:color w:val="auto"/>
                <w:sz w:val="21"/>
                <w:szCs w:val="21"/>
                <w:highlight w:val="none"/>
                <w:lang w:val="en-US" w:eastAsia="zh-CN" w:bidi="ar"/>
              </w:rPr>
              <w:t>尾水排放泵</w:t>
            </w:r>
          </w:p>
        </w:tc>
        <w:tc>
          <w:tcPr>
            <w:tcW w:w="1434" w:type="pct"/>
            <w:tcBorders>
              <w:top w:val="nil"/>
              <w:left w:val="nil"/>
              <w:bottom w:val="single" w:color="000000" w:sz="4" w:space="0"/>
              <w:right w:val="single" w:color="000000" w:sz="4" w:space="0"/>
            </w:tcBorders>
            <w:shd w:val="clear" w:color="000000" w:fill="FFFFFF"/>
            <w:vAlign w:val="center"/>
          </w:tcPr>
          <w:p w14:paraId="65C68978">
            <w:pPr>
              <w:keepNext w:val="0"/>
              <w:keepLines w:val="0"/>
              <w:widowControl/>
              <w:suppressLineNumbers w:val="0"/>
              <w:jc w:val="center"/>
              <w:textAlignment w:val="center"/>
              <w:rPr>
                <w:rFonts w:ascii="宋体" w:hAnsi="宋体" w:cs="宋体"/>
                <w:color w:val="auto"/>
                <w:kern w:val="0"/>
                <w:sz w:val="21"/>
                <w:szCs w:val="21"/>
                <w:highlight w:val="none"/>
              </w:rPr>
            </w:pPr>
            <w:r>
              <w:rPr>
                <w:rFonts w:hint="default" w:ascii="Times New Roman" w:hAnsi="Times New Roman" w:eastAsia="微软雅黑" w:cs="Times New Roman"/>
                <w:i w:val="0"/>
                <w:iCs w:val="0"/>
                <w:color w:val="auto"/>
                <w:kern w:val="0"/>
                <w:sz w:val="21"/>
                <w:szCs w:val="21"/>
                <w:highlight w:val="none"/>
                <w:u w:val="none"/>
                <w:lang w:val="en-US" w:eastAsia="zh-CN" w:bidi="ar"/>
              </w:rPr>
              <w:t>264m3/h</w:t>
            </w:r>
            <w:r>
              <w:rPr>
                <w:rStyle w:val="73"/>
                <w:color w:val="auto"/>
                <w:sz w:val="21"/>
                <w:szCs w:val="21"/>
                <w:highlight w:val="none"/>
                <w:lang w:val="en-US" w:eastAsia="zh-CN" w:bidi="ar"/>
              </w:rPr>
              <w:t>，18.5</w:t>
            </w:r>
            <w:r>
              <w:rPr>
                <w:rFonts w:hint="default" w:ascii="Times New Roman" w:hAnsi="Times New Roman" w:eastAsia="微软雅黑" w:cs="Times New Roman"/>
                <w:i w:val="0"/>
                <w:iCs w:val="0"/>
                <w:color w:val="auto"/>
                <w:kern w:val="0"/>
                <w:sz w:val="21"/>
                <w:szCs w:val="21"/>
                <w:highlight w:val="none"/>
                <w:u w:val="none"/>
                <w:lang w:val="en-US" w:eastAsia="zh-CN" w:bidi="ar"/>
              </w:rPr>
              <w:t>m</w:t>
            </w:r>
            <w:r>
              <w:rPr>
                <w:rStyle w:val="73"/>
                <w:color w:val="auto"/>
                <w:sz w:val="21"/>
                <w:szCs w:val="21"/>
                <w:highlight w:val="none"/>
                <w:lang w:val="en-US" w:eastAsia="zh-CN" w:bidi="ar"/>
              </w:rPr>
              <w:t>，</w:t>
            </w:r>
            <w:r>
              <w:rPr>
                <w:rFonts w:hint="default" w:ascii="Times New Roman" w:hAnsi="Times New Roman" w:eastAsia="微软雅黑" w:cs="Times New Roman"/>
                <w:i w:val="0"/>
                <w:iCs w:val="0"/>
                <w:color w:val="auto"/>
                <w:kern w:val="0"/>
                <w:sz w:val="21"/>
                <w:szCs w:val="21"/>
                <w:highlight w:val="none"/>
                <w:u w:val="none"/>
                <w:lang w:val="en-US" w:eastAsia="zh-CN" w:bidi="ar"/>
              </w:rPr>
              <w:t>18.5KW</w:t>
            </w:r>
            <w:r>
              <w:rPr>
                <w:rStyle w:val="73"/>
                <w:color w:val="auto"/>
                <w:sz w:val="21"/>
                <w:szCs w:val="21"/>
                <w:highlight w:val="none"/>
                <w:lang w:val="en-US" w:eastAsia="zh-CN" w:bidi="ar"/>
              </w:rPr>
              <w:t>，卧式泵，变频</w:t>
            </w:r>
          </w:p>
        </w:tc>
        <w:tc>
          <w:tcPr>
            <w:tcW w:w="480" w:type="pct"/>
            <w:tcBorders>
              <w:top w:val="nil"/>
              <w:left w:val="nil"/>
              <w:bottom w:val="single" w:color="000000" w:sz="4" w:space="0"/>
              <w:right w:val="single" w:color="000000" w:sz="4" w:space="0"/>
            </w:tcBorders>
            <w:shd w:val="clear" w:color="000000" w:fill="FFFFFF"/>
            <w:vAlign w:val="center"/>
          </w:tcPr>
          <w:p w14:paraId="24EC0C66">
            <w:pPr>
              <w:keepNext w:val="0"/>
              <w:keepLines w:val="0"/>
              <w:widowControl/>
              <w:suppressLineNumbers w:val="0"/>
              <w:jc w:val="center"/>
              <w:textAlignment w:val="center"/>
              <w:rPr>
                <w:rFonts w:ascii="宋体" w:hAnsi="宋体" w:cs="宋体"/>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316L</w:t>
            </w:r>
          </w:p>
        </w:tc>
        <w:tc>
          <w:tcPr>
            <w:tcW w:w="288" w:type="pct"/>
            <w:tcBorders>
              <w:top w:val="nil"/>
              <w:left w:val="nil"/>
              <w:bottom w:val="single" w:color="000000" w:sz="4" w:space="0"/>
              <w:right w:val="single" w:color="000000" w:sz="4" w:space="0"/>
            </w:tcBorders>
            <w:shd w:val="clear" w:color="000000" w:fill="FFFFFF"/>
            <w:vAlign w:val="center"/>
          </w:tcPr>
          <w:p w14:paraId="1575FDB8">
            <w:pPr>
              <w:keepNext w:val="0"/>
              <w:keepLines w:val="0"/>
              <w:widowControl/>
              <w:suppressLineNumbers w:val="0"/>
              <w:jc w:val="center"/>
              <w:textAlignment w:val="center"/>
              <w:rPr>
                <w:rFonts w:ascii="宋体" w:hAnsi="宋体" w:cs="宋体"/>
                <w:color w:val="auto"/>
                <w:kern w:val="0"/>
                <w:sz w:val="21"/>
                <w:szCs w:val="21"/>
                <w:highlight w:val="none"/>
              </w:rPr>
            </w:pPr>
            <w:r>
              <w:rPr>
                <w:rStyle w:val="72"/>
                <w:color w:val="auto"/>
                <w:sz w:val="21"/>
                <w:szCs w:val="21"/>
                <w:highlight w:val="none"/>
                <w:lang w:val="en-US" w:eastAsia="zh-CN" w:bidi="ar"/>
              </w:rPr>
              <w:t>台</w:t>
            </w:r>
          </w:p>
        </w:tc>
        <w:tc>
          <w:tcPr>
            <w:tcW w:w="288" w:type="pct"/>
            <w:tcBorders>
              <w:top w:val="nil"/>
              <w:left w:val="nil"/>
              <w:bottom w:val="single" w:color="000000" w:sz="4" w:space="0"/>
              <w:right w:val="single" w:color="000000" w:sz="4" w:space="0"/>
            </w:tcBorders>
            <w:shd w:val="clear" w:color="000000" w:fill="FFFFFF"/>
            <w:vAlign w:val="center"/>
          </w:tcPr>
          <w:p w14:paraId="0A069BFA">
            <w:pPr>
              <w:keepNext w:val="0"/>
              <w:keepLines w:val="0"/>
              <w:widowControl/>
              <w:suppressLineNumbers w:val="0"/>
              <w:jc w:val="center"/>
              <w:textAlignment w:val="center"/>
              <w:rPr>
                <w:rFonts w:ascii="宋体" w:hAnsi="宋体" w:cs="宋体"/>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384" w:type="pct"/>
            <w:tcBorders>
              <w:top w:val="nil"/>
              <w:left w:val="nil"/>
              <w:bottom w:val="single" w:color="000000" w:sz="4" w:space="0"/>
              <w:right w:val="single" w:color="000000" w:sz="4" w:space="0"/>
            </w:tcBorders>
            <w:shd w:val="clear" w:color="000000" w:fill="FFFFFF"/>
            <w:vAlign w:val="center"/>
          </w:tcPr>
          <w:p w14:paraId="29EC31C3">
            <w:pPr>
              <w:keepNext w:val="0"/>
              <w:keepLines w:val="0"/>
              <w:widowControl/>
              <w:suppressLineNumbers w:val="0"/>
              <w:jc w:val="center"/>
              <w:textAlignment w:val="center"/>
              <w:rPr>
                <w:rFonts w:ascii="宋体" w:hAnsi="宋体" w:cs="宋体"/>
                <w:color w:val="auto"/>
                <w:kern w:val="0"/>
                <w:sz w:val="21"/>
                <w:szCs w:val="21"/>
                <w:highlight w:val="none"/>
              </w:rPr>
            </w:pPr>
          </w:p>
        </w:tc>
        <w:tc>
          <w:tcPr>
            <w:tcW w:w="605" w:type="pct"/>
            <w:vMerge w:val="continue"/>
            <w:tcBorders>
              <w:top w:val="nil"/>
              <w:left w:val="single" w:color="000000" w:sz="4" w:space="0"/>
              <w:bottom w:val="single" w:color="000000" w:sz="4" w:space="0"/>
              <w:right w:val="single" w:color="000000" w:sz="4" w:space="0"/>
            </w:tcBorders>
            <w:vAlign w:val="center"/>
          </w:tcPr>
          <w:p w14:paraId="10279B3E">
            <w:pPr>
              <w:widowControl/>
              <w:snapToGrid w:val="0"/>
              <w:jc w:val="center"/>
              <w:rPr>
                <w:rFonts w:ascii="宋体" w:hAnsi="宋体" w:cs="宋体"/>
                <w:color w:val="auto"/>
                <w:kern w:val="0"/>
                <w:sz w:val="21"/>
                <w:szCs w:val="21"/>
                <w:highlight w:val="none"/>
              </w:rPr>
            </w:pPr>
          </w:p>
        </w:tc>
      </w:tr>
      <w:tr w14:paraId="2E13AD3D">
        <w:tblPrEx>
          <w:tblCellMar>
            <w:top w:w="0" w:type="dxa"/>
            <w:left w:w="108" w:type="dxa"/>
            <w:bottom w:w="0" w:type="dxa"/>
            <w:right w:w="108" w:type="dxa"/>
          </w:tblCellMar>
        </w:tblPrEx>
        <w:trPr>
          <w:trHeight w:val="540" w:hRule="atLeast"/>
        </w:trPr>
        <w:tc>
          <w:tcPr>
            <w:tcW w:w="234" w:type="pct"/>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A32779C">
            <w:pPr>
              <w:keepNext w:val="0"/>
              <w:keepLines w:val="0"/>
              <w:widowControl/>
              <w:suppressLineNumbers w:val="0"/>
              <w:jc w:val="center"/>
              <w:textAlignment w:val="center"/>
              <w:rPr>
                <w:rFonts w:ascii="宋体" w:hAnsi="宋体" w:cs="宋体"/>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723" w:type="pct"/>
            <w:vMerge w:val="restart"/>
            <w:tcBorders>
              <w:top w:val="single" w:color="000000" w:sz="4" w:space="0"/>
              <w:left w:val="single" w:color="000000" w:sz="4" w:space="0"/>
              <w:bottom w:val="single" w:color="000000" w:sz="4" w:space="0"/>
              <w:right w:val="single" w:color="000000" w:sz="4" w:space="0"/>
            </w:tcBorders>
            <w:vAlign w:val="center"/>
          </w:tcPr>
          <w:p w14:paraId="4D05E1E5">
            <w:pPr>
              <w:jc w:val="center"/>
              <w:rPr>
                <w:rFonts w:ascii="宋体" w:hAnsi="宋体" w:cs="宋体"/>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污泥撇水池及脱水车间</w:t>
            </w:r>
          </w:p>
        </w:tc>
        <w:tc>
          <w:tcPr>
            <w:tcW w:w="559" w:type="pct"/>
            <w:tcBorders>
              <w:top w:val="single" w:color="000000" w:sz="4" w:space="0"/>
              <w:left w:val="single" w:color="000000" w:sz="4" w:space="0"/>
              <w:bottom w:val="single" w:color="000000" w:sz="4" w:space="0"/>
              <w:right w:val="single" w:color="000000" w:sz="4" w:space="0"/>
            </w:tcBorders>
            <w:shd w:val="clear" w:color="000000" w:fill="FFFFFF"/>
            <w:vAlign w:val="center"/>
          </w:tcPr>
          <w:p w14:paraId="0C03B9E1">
            <w:pPr>
              <w:keepNext w:val="0"/>
              <w:keepLines w:val="0"/>
              <w:widowControl/>
              <w:suppressLineNumbers w:val="0"/>
              <w:jc w:val="center"/>
              <w:textAlignment w:val="center"/>
              <w:rPr>
                <w:rFonts w:ascii="宋体" w:hAnsi="宋体" w:cs="宋体"/>
                <w:color w:val="auto"/>
                <w:kern w:val="0"/>
                <w:sz w:val="21"/>
                <w:szCs w:val="21"/>
                <w:highlight w:val="none"/>
              </w:rPr>
            </w:pPr>
            <w:r>
              <w:rPr>
                <w:rStyle w:val="72"/>
                <w:color w:val="auto"/>
                <w:sz w:val="21"/>
                <w:szCs w:val="21"/>
                <w:highlight w:val="none"/>
                <w:lang w:val="en-US" w:eastAsia="zh-CN" w:bidi="ar"/>
              </w:rPr>
              <w:t>浓水提升泵</w:t>
            </w:r>
          </w:p>
        </w:tc>
        <w:tc>
          <w:tcPr>
            <w:tcW w:w="1434" w:type="pct"/>
            <w:tcBorders>
              <w:top w:val="single" w:color="000000" w:sz="4" w:space="0"/>
              <w:left w:val="single" w:color="000000" w:sz="4" w:space="0"/>
              <w:bottom w:val="single" w:color="000000" w:sz="4" w:space="0"/>
              <w:right w:val="single" w:color="000000" w:sz="4" w:space="0"/>
            </w:tcBorders>
            <w:shd w:val="clear" w:color="000000" w:fill="FFFFFF"/>
            <w:vAlign w:val="center"/>
          </w:tcPr>
          <w:p w14:paraId="5F27B968">
            <w:pPr>
              <w:keepNext w:val="0"/>
              <w:keepLines w:val="0"/>
              <w:widowControl/>
              <w:suppressLineNumbers w:val="0"/>
              <w:jc w:val="center"/>
              <w:textAlignment w:val="center"/>
              <w:rPr>
                <w:rFonts w:ascii="宋体" w:hAnsi="宋体" w:cs="宋体"/>
                <w:color w:val="auto"/>
                <w:kern w:val="0"/>
                <w:sz w:val="21"/>
                <w:szCs w:val="21"/>
                <w:highlight w:val="none"/>
              </w:rPr>
            </w:pPr>
            <w:r>
              <w:rPr>
                <w:rFonts w:hint="default" w:ascii="Times New Roman" w:hAnsi="Times New Roman" w:eastAsia="微软雅黑" w:cs="Times New Roman"/>
                <w:i w:val="0"/>
                <w:iCs w:val="0"/>
                <w:color w:val="auto"/>
                <w:kern w:val="0"/>
                <w:sz w:val="21"/>
                <w:szCs w:val="21"/>
                <w:highlight w:val="none"/>
                <w:u w:val="none"/>
                <w:lang w:val="en-US" w:eastAsia="zh-CN" w:bidi="ar"/>
              </w:rPr>
              <w:t>135m3/h 12m</w:t>
            </w:r>
            <w:r>
              <w:rPr>
                <w:rStyle w:val="73"/>
                <w:color w:val="auto"/>
                <w:sz w:val="21"/>
                <w:szCs w:val="21"/>
                <w:highlight w:val="none"/>
                <w:lang w:val="en-US" w:eastAsia="zh-CN" w:bidi="ar"/>
              </w:rPr>
              <w:t>，</w:t>
            </w:r>
            <w:r>
              <w:rPr>
                <w:rStyle w:val="74"/>
                <w:color w:val="auto"/>
                <w:sz w:val="21"/>
                <w:szCs w:val="21"/>
                <w:highlight w:val="none"/>
                <w:lang w:val="en-US" w:eastAsia="zh-CN" w:bidi="ar"/>
              </w:rPr>
              <w:t>7.5</w:t>
            </w:r>
            <w:r>
              <w:rPr>
                <w:rStyle w:val="75"/>
                <w:rFonts w:eastAsia="微软雅黑"/>
                <w:color w:val="auto"/>
                <w:sz w:val="21"/>
                <w:szCs w:val="21"/>
                <w:highlight w:val="none"/>
                <w:lang w:val="en-US" w:eastAsia="zh-CN" w:bidi="ar"/>
              </w:rPr>
              <w:t>KW</w:t>
            </w:r>
            <w:r>
              <w:rPr>
                <w:rStyle w:val="73"/>
                <w:color w:val="auto"/>
                <w:sz w:val="21"/>
                <w:szCs w:val="21"/>
                <w:highlight w:val="none"/>
                <w:lang w:val="en-US" w:eastAsia="zh-CN" w:bidi="ar"/>
              </w:rPr>
              <w:t>，卧式泵，变频</w:t>
            </w:r>
          </w:p>
        </w:tc>
        <w:tc>
          <w:tcPr>
            <w:tcW w:w="480" w:type="pct"/>
            <w:tcBorders>
              <w:top w:val="single" w:color="000000" w:sz="4" w:space="0"/>
              <w:left w:val="single" w:color="000000" w:sz="4" w:space="0"/>
              <w:bottom w:val="single" w:color="000000" w:sz="4" w:space="0"/>
              <w:right w:val="single" w:color="000000" w:sz="4" w:space="0"/>
            </w:tcBorders>
            <w:shd w:val="clear" w:color="000000" w:fill="FFFFFF"/>
            <w:vAlign w:val="center"/>
          </w:tcPr>
          <w:p w14:paraId="3B1C1778">
            <w:pPr>
              <w:keepNext w:val="0"/>
              <w:keepLines w:val="0"/>
              <w:widowControl/>
              <w:suppressLineNumbers w:val="0"/>
              <w:jc w:val="center"/>
              <w:textAlignment w:val="center"/>
              <w:rPr>
                <w:rFonts w:ascii="宋体" w:hAnsi="宋体"/>
                <w:color w:val="auto"/>
                <w:kern w:val="0"/>
                <w:sz w:val="21"/>
                <w:szCs w:val="21"/>
                <w:highlight w:val="none"/>
              </w:rPr>
            </w:pPr>
            <w:r>
              <w:rPr>
                <w:rStyle w:val="72"/>
                <w:color w:val="auto"/>
                <w:sz w:val="21"/>
                <w:szCs w:val="21"/>
                <w:highlight w:val="none"/>
                <w:lang w:val="en-US" w:eastAsia="zh-CN" w:bidi="ar"/>
              </w:rPr>
              <w:t>双相钢</w:t>
            </w:r>
          </w:p>
        </w:tc>
        <w:tc>
          <w:tcPr>
            <w:tcW w:w="288" w:type="pct"/>
            <w:tcBorders>
              <w:top w:val="single" w:color="000000" w:sz="4" w:space="0"/>
              <w:left w:val="single" w:color="000000" w:sz="4" w:space="0"/>
              <w:bottom w:val="single" w:color="000000" w:sz="4" w:space="0"/>
              <w:right w:val="single" w:color="000000" w:sz="4" w:space="0"/>
            </w:tcBorders>
            <w:shd w:val="clear" w:color="000000" w:fill="FFFFFF"/>
            <w:vAlign w:val="center"/>
          </w:tcPr>
          <w:p w14:paraId="195E099E">
            <w:pPr>
              <w:keepNext w:val="0"/>
              <w:keepLines w:val="0"/>
              <w:widowControl/>
              <w:suppressLineNumbers w:val="0"/>
              <w:jc w:val="center"/>
              <w:textAlignment w:val="center"/>
              <w:rPr>
                <w:rFonts w:ascii="宋体" w:hAnsi="宋体" w:cs="宋体"/>
                <w:color w:val="auto"/>
                <w:kern w:val="0"/>
                <w:sz w:val="21"/>
                <w:szCs w:val="21"/>
                <w:highlight w:val="none"/>
              </w:rPr>
            </w:pPr>
            <w:r>
              <w:rPr>
                <w:rStyle w:val="72"/>
                <w:color w:val="auto"/>
                <w:sz w:val="21"/>
                <w:szCs w:val="21"/>
                <w:highlight w:val="none"/>
                <w:lang w:val="en-US" w:eastAsia="zh-CN" w:bidi="ar"/>
              </w:rPr>
              <w:t>台</w:t>
            </w:r>
          </w:p>
        </w:tc>
        <w:tc>
          <w:tcPr>
            <w:tcW w:w="288" w:type="pct"/>
            <w:tcBorders>
              <w:top w:val="single" w:color="000000" w:sz="4" w:space="0"/>
              <w:left w:val="single" w:color="000000" w:sz="4" w:space="0"/>
              <w:bottom w:val="single" w:color="000000" w:sz="4" w:space="0"/>
              <w:right w:val="single" w:color="000000" w:sz="4" w:space="0"/>
            </w:tcBorders>
            <w:shd w:val="clear" w:color="000000" w:fill="FFFFFF"/>
            <w:vAlign w:val="center"/>
          </w:tcPr>
          <w:p w14:paraId="3B9A3606">
            <w:pPr>
              <w:keepNext w:val="0"/>
              <w:keepLines w:val="0"/>
              <w:widowControl/>
              <w:suppressLineNumbers w:val="0"/>
              <w:jc w:val="center"/>
              <w:textAlignment w:val="center"/>
              <w:rPr>
                <w:rFonts w:ascii="宋体" w:hAnsi="宋体"/>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384" w:type="pct"/>
            <w:tcBorders>
              <w:top w:val="single" w:color="000000" w:sz="4" w:space="0"/>
              <w:left w:val="single" w:color="000000" w:sz="4" w:space="0"/>
              <w:bottom w:val="single" w:color="000000" w:sz="4" w:space="0"/>
              <w:right w:val="single" w:color="000000" w:sz="4" w:space="0"/>
            </w:tcBorders>
            <w:shd w:val="clear" w:color="000000" w:fill="FFFFFF"/>
            <w:vAlign w:val="center"/>
          </w:tcPr>
          <w:p w14:paraId="766F878C">
            <w:pPr>
              <w:keepNext w:val="0"/>
              <w:keepLines w:val="0"/>
              <w:widowControl/>
              <w:suppressLineNumbers w:val="0"/>
              <w:jc w:val="center"/>
              <w:textAlignment w:val="center"/>
              <w:rPr>
                <w:rFonts w:ascii="宋体" w:hAnsi="宋体" w:cs="宋体"/>
                <w:color w:val="auto"/>
                <w:kern w:val="0"/>
                <w:sz w:val="21"/>
                <w:szCs w:val="21"/>
                <w:highlight w:val="none"/>
              </w:rPr>
            </w:pPr>
          </w:p>
        </w:tc>
        <w:tc>
          <w:tcPr>
            <w:tcW w:w="605" w:type="pct"/>
            <w:vMerge w:val="continue"/>
            <w:tcBorders>
              <w:top w:val="nil"/>
              <w:left w:val="single" w:color="000000" w:sz="4" w:space="0"/>
              <w:bottom w:val="single" w:color="000000" w:sz="4" w:space="0"/>
              <w:right w:val="single" w:color="000000" w:sz="4" w:space="0"/>
            </w:tcBorders>
            <w:vAlign w:val="center"/>
          </w:tcPr>
          <w:p w14:paraId="704FC06B">
            <w:pPr>
              <w:widowControl/>
              <w:snapToGrid w:val="0"/>
              <w:jc w:val="center"/>
              <w:rPr>
                <w:rFonts w:ascii="宋体" w:hAnsi="宋体" w:cs="宋体"/>
                <w:color w:val="auto"/>
                <w:kern w:val="0"/>
                <w:sz w:val="21"/>
                <w:szCs w:val="21"/>
                <w:highlight w:val="none"/>
              </w:rPr>
            </w:pPr>
          </w:p>
        </w:tc>
      </w:tr>
      <w:tr w14:paraId="60556D9C">
        <w:tblPrEx>
          <w:tblCellMar>
            <w:top w:w="0" w:type="dxa"/>
            <w:left w:w="108" w:type="dxa"/>
            <w:bottom w:w="0" w:type="dxa"/>
            <w:right w:w="108" w:type="dxa"/>
          </w:tblCellMar>
        </w:tblPrEx>
        <w:trPr>
          <w:trHeight w:val="520" w:hRule="atLeast"/>
        </w:trPr>
        <w:tc>
          <w:tcPr>
            <w:tcW w:w="234" w:type="pct"/>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B007CAD">
            <w:pPr>
              <w:keepNext w:val="0"/>
              <w:keepLines w:val="0"/>
              <w:widowControl/>
              <w:suppressLineNumbers w:val="0"/>
              <w:jc w:val="center"/>
              <w:textAlignment w:val="center"/>
              <w:rPr>
                <w:rFonts w:ascii="宋体" w:hAnsi="宋体" w:cs="宋体"/>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723" w:type="pct"/>
            <w:vMerge w:val="continue"/>
            <w:tcBorders>
              <w:top w:val="single" w:color="000000" w:sz="4" w:space="0"/>
              <w:left w:val="single" w:color="000000" w:sz="4" w:space="0"/>
              <w:bottom w:val="single" w:color="000000" w:sz="4" w:space="0"/>
              <w:right w:val="single" w:color="000000" w:sz="4" w:space="0"/>
            </w:tcBorders>
            <w:vAlign w:val="center"/>
          </w:tcPr>
          <w:p w14:paraId="08BE39FE">
            <w:pPr>
              <w:jc w:val="center"/>
              <w:rPr>
                <w:rFonts w:ascii="宋体" w:hAnsi="宋体" w:cs="宋体"/>
                <w:color w:val="auto"/>
                <w:kern w:val="0"/>
                <w:sz w:val="21"/>
                <w:szCs w:val="21"/>
                <w:highlight w:val="none"/>
              </w:rPr>
            </w:pPr>
          </w:p>
        </w:tc>
        <w:tc>
          <w:tcPr>
            <w:tcW w:w="559" w:type="pct"/>
            <w:tcBorders>
              <w:top w:val="single" w:color="000000" w:sz="4" w:space="0"/>
              <w:left w:val="single" w:color="000000" w:sz="4" w:space="0"/>
              <w:bottom w:val="single" w:color="000000" w:sz="4" w:space="0"/>
              <w:right w:val="single" w:color="000000" w:sz="4" w:space="0"/>
            </w:tcBorders>
            <w:shd w:val="clear" w:color="000000" w:fill="FFFFFF"/>
            <w:vAlign w:val="center"/>
          </w:tcPr>
          <w:p w14:paraId="208C173A">
            <w:pPr>
              <w:keepNext w:val="0"/>
              <w:keepLines w:val="0"/>
              <w:widowControl/>
              <w:suppressLineNumbers w:val="0"/>
              <w:jc w:val="center"/>
              <w:textAlignment w:val="center"/>
              <w:rPr>
                <w:rFonts w:ascii="宋体" w:hAnsi="宋体" w:cs="宋体"/>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潜污泵</w:t>
            </w:r>
          </w:p>
        </w:tc>
        <w:tc>
          <w:tcPr>
            <w:tcW w:w="1434" w:type="pct"/>
            <w:tcBorders>
              <w:top w:val="single" w:color="000000" w:sz="4" w:space="0"/>
              <w:left w:val="single" w:color="000000" w:sz="4" w:space="0"/>
              <w:bottom w:val="single" w:color="000000" w:sz="4" w:space="0"/>
              <w:right w:val="single" w:color="000000" w:sz="4" w:space="0"/>
            </w:tcBorders>
            <w:shd w:val="clear" w:color="000000" w:fill="FFFFFF"/>
            <w:vAlign w:val="center"/>
          </w:tcPr>
          <w:p w14:paraId="5EC525DB">
            <w:pPr>
              <w:keepNext w:val="0"/>
              <w:keepLines w:val="0"/>
              <w:widowControl/>
              <w:suppressLineNumbers w:val="0"/>
              <w:jc w:val="center"/>
              <w:textAlignment w:val="center"/>
              <w:rPr>
                <w:rFonts w:ascii="宋体" w:hAnsi="宋体" w:cs="宋体"/>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Q=</w:t>
            </w:r>
            <w:r>
              <w:rPr>
                <w:rStyle w:val="71"/>
                <w:rFonts w:eastAsia="宋体"/>
                <w:color w:val="auto"/>
                <w:sz w:val="21"/>
                <w:szCs w:val="21"/>
                <w:highlight w:val="none"/>
                <w:lang w:val="en-US" w:eastAsia="zh-CN" w:bidi="ar"/>
              </w:rPr>
              <w:t>150m3/h</w:t>
            </w:r>
            <w:r>
              <w:rPr>
                <w:rStyle w:val="48"/>
                <w:color w:val="auto"/>
                <w:sz w:val="21"/>
                <w:szCs w:val="21"/>
                <w:highlight w:val="none"/>
                <w:lang w:val="en-US" w:eastAsia="zh-CN" w:bidi="ar"/>
              </w:rPr>
              <w:t>，</w:t>
            </w:r>
            <w:r>
              <w:rPr>
                <w:rStyle w:val="76"/>
                <w:color w:val="auto"/>
                <w:sz w:val="21"/>
                <w:szCs w:val="21"/>
                <w:highlight w:val="none"/>
                <w:lang w:val="en-US" w:eastAsia="zh-CN" w:bidi="ar"/>
              </w:rPr>
              <w:t>H=</w:t>
            </w:r>
            <w:r>
              <w:rPr>
                <w:rStyle w:val="71"/>
                <w:rFonts w:eastAsia="宋体"/>
                <w:color w:val="auto"/>
                <w:sz w:val="21"/>
                <w:szCs w:val="21"/>
                <w:highlight w:val="none"/>
                <w:lang w:val="en-US" w:eastAsia="zh-CN" w:bidi="ar"/>
              </w:rPr>
              <w:t>16m</w:t>
            </w:r>
            <w:r>
              <w:rPr>
                <w:rStyle w:val="48"/>
                <w:color w:val="auto"/>
                <w:sz w:val="21"/>
                <w:szCs w:val="21"/>
                <w:highlight w:val="none"/>
                <w:lang w:val="en-US" w:eastAsia="zh-CN" w:bidi="ar"/>
              </w:rPr>
              <w:t>，</w:t>
            </w:r>
            <w:r>
              <w:rPr>
                <w:rStyle w:val="76"/>
                <w:color w:val="auto"/>
                <w:sz w:val="21"/>
                <w:szCs w:val="21"/>
                <w:highlight w:val="none"/>
                <w:lang w:val="en-US" w:eastAsia="zh-CN" w:bidi="ar"/>
              </w:rPr>
              <w:t>P=</w:t>
            </w:r>
            <w:r>
              <w:rPr>
                <w:rStyle w:val="71"/>
                <w:rFonts w:eastAsia="宋体"/>
                <w:color w:val="auto"/>
                <w:sz w:val="21"/>
                <w:szCs w:val="21"/>
                <w:highlight w:val="none"/>
                <w:lang w:val="en-US" w:eastAsia="zh-CN" w:bidi="ar"/>
              </w:rPr>
              <w:t>13kW</w:t>
            </w:r>
          </w:p>
        </w:tc>
        <w:tc>
          <w:tcPr>
            <w:tcW w:w="480" w:type="pct"/>
            <w:tcBorders>
              <w:top w:val="single" w:color="000000" w:sz="4" w:space="0"/>
              <w:left w:val="single" w:color="000000" w:sz="4" w:space="0"/>
              <w:bottom w:val="single" w:color="000000" w:sz="4" w:space="0"/>
              <w:right w:val="single" w:color="000000" w:sz="4" w:space="0"/>
            </w:tcBorders>
            <w:shd w:val="clear" w:color="000000" w:fill="FFFFFF"/>
            <w:vAlign w:val="center"/>
          </w:tcPr>
          <w:p w14:paraId="467F2DC0">
            <w:pPr>
              <w:keepNext w:val="0"/>
              <w:keepLines w:val="0"/>
              <w:widowControl/>
              <w:suppressLineNumbers w:val="0"/>
              <w:jc w:val="center"/>
              <w:textAlignment w:val="center"/>
              <w:rPr>
                <w:rFonts w:ascii="宋体" w:hAnsi="宋体"/>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31</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L</w:t>
            </w:r>
          </w:p>
        </w:tc>
        <w:tc>
          <w:tcPr>
            <w:tcW w:w="288" w:type="pct"/>
            <w:tcBorders>
              <w:top w:val="single" w:color="000000" w:sz="4" w:space="0"/>
              <w:left w:val="single" w:color="000000" w:sz="4" w:space="0"/>
              <w:bottom w:val="single" w:color="000000" w:sz="4" w:space="0"/>
              <w:right w:val="single" w:color="000000" w:sz="4" w:space="0"/>
            </w:tcBorders>
            <w:shd w:val="clear" w:color="000000" w:fill="FFFFFF"/>
            <w:vAlign w:val="center"/>
          </w:tcPr>
          <w:p w14:paraId="0515F3E1">
            <w:pPr>
              <w:keepNext w:val="0"/>
              <w:keepLines w:val="0"/>
              <w:widowControl/>
              <w:suppressLineNumbers w:val="0"/>
              <w:jc w:val="center"/>
              <w:textAlignment w:val="center"/>
              <w:rPr>
                <w:rFonts w:ascii="宋体" w:hAnsi="宋体" w:cs="宋体"/>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288" w:type="pct"/>
            <w:tcBorders>
              <w:top w:val="single" w:color="000000" w:sz="4" w:space="0"/>
              <w:left w:val="single" w:color="000000" w:sz="4" w:space="0"/>
              <w:bottom w:val="single" w:color="000000" w:sz="4" w:space="0"/>
              <w:right w:val="single" w:color="000000" w:sz="4" w:space="0"/>
            </w:tcBorders>
            <w:shd w:val="clear" w:color="000000" w:fill="FFFFFF"/>
            <w:vAlign w:val="center"/>
          </w:tcPr>
          <w:p w14:paraId="1E6C1D93">
            <w:pPr>
              <w:keepNext w:val="0"/>
              <w:keepLines w:val="0"/>
              <w:widowControl/>
              <w:suppressLineNumbers w:val="0"/>
              <w:jc w:val="center"/>
              <w:textAlignment w:val="center"/>
              <w:rPr>
                <w:rFonts w:ascii="宋体" w:hAnsi="宋体"/>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84" w:type="pct"/>
            <w:tcBorders>
              <w:top w:val="single" w:color="000000" w:sz="4" w:space="0"/>
              <w:left w:val="single" w:color="000000" w:sz="4" w:space="0"/>
              <w:bottom w:val="single" w:color="000000" w:sz="4" w:space="0"/>
              <w:right w:val="single" w:color="000000" w:sz="4" w:space="0"/>
            </w:tcBorders>
            <w:shd w:val="clear" w:color="000000" w:fill="FFFFFF"/>
            <w:vAlign w:val="center"/>
          </w:tcPr>
          <w:p w14:paraId="2DD2615E">
            <w:pPr>
              <w:jc w:val="center"/>
              <w:rPr>
                <w:rFonts w:ascii="宋体" w:hAnsi="宋体" w:cs="宋体"/>
                <w:color w:val="auto"/>
                <w:kern w:val="0"/>
                <w:sz w:val="21"/>
                <w:szCs w:val="21"/>
                <w:highlight w:val="none"/>
              </w:rPr>
            </w:pPr>
          </w:p>
        </w:tc>
        <w:tc>
          <w:tcPr>
            <w:tcW w:w="605" w:type="pct"/>
            <w:vMerge w:val="continue"/>
            <w:tcBorders>
              <w:top w:val="nil"/>
              <w:left w:val="single" w:color="000000" w:sz="4" w:space="0"/>
              <w:bottom w:val="single" w:color="000000" w:sz="4" w:space="0"/>
              <w:right w:val="single" w:color="000000" w:sz="4" w:space="0"/>
            </w:tcBorders>
            <w:vAlign w:val="center"/>
          </w:tcPr>
          <w:p w14:paraId="21233963">
            <w:pPr>
              <w:widowControl/>
              <w:snapToGrid w:val="0"/>
              <w:jc w:val="center"/>
              <w:rPr>
                <w:rFonts w:ascii="宋体" w:hAnsi="宋体" w:cs="宋体"/>
                <w:color w:val="auto"/>
                <w:kern w:val="0"/>
                <w:sz w:val="21"/>
                <w:szCs w:val="21"/>
                <w:highlight w:val="none"/>
              </w:rPr>
            </w:pPr>
          </w:p>
        </w:tc>
      </w:tr>
    </w:tbl>
    <w:p w14:paraId="492FD79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p w14:paraId="3C1F007F">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标准化的外观、运行、维修、备品备件以及制造商服务，所提供的设备必须是一个制造商的最终产品。每台水泵应成套地配备安全、有效及可靠运行所需的附件和安装所需的固定件。</w:t>
      </w:r>
    </w:p>
    <w:p w14:paraId="6538DC66">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主要包括，但不限于：</w:t>
      </w:r>
    </w:p>
    <w:p w14:paraId="363AD082">
      <w:pPr>
        <w:widowControl/>
        <w:numPr>
          <w:ilvl w:val="0"/>
          <w:numId w:val="6"/>
        </w:numPr>
        <w:tabs>
          <w:tab w:val="left" w:pos="540"/>
        </w:tabs>
        <w:spacing w:beforeLines="0" w:line="360" w:lineRule="auto"/>
        <w:ind w:left="425" w:leftChars="0" w:hanging="5" w:firstLineChars="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装配完整的水泵（包括电机、泵壳、叶轮、机械密封、泵轴等）；</w:t>
      </w:r>
    </w:p>
    <w:p w14:paraId="4EF1E6DC">
      <w:pPr>
        <w:widowControl/>
        <w:numPr>
          <w:ilvl w:val="0"/>
          <w:numId w:val="6"/>
        </w:numPr>
        <w:tabs>
          <w:tab w:val="left" w:pos="540"/>
        </w:tabs>
        <w:spacing w:beforeLines="0" w:line="360" w:lineRule="auto"/>
        <w:ind w:left="425" w:leftChars="0" w:hanging="5" w:firstLineChars="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固定耦合式安装需配备：基座、预埋件、鸭脚弯头、耦合装置及地脚螺栓；</w:t>
      </w:r>
    </w:p>
    <w:p w14:paraId="6E1013FE">
      <w:pPr>
        <w:widowControl/>
        <w:numPr>
          <w:ilvl w:val="0"/>
          <w:numId w:val="6"/>
        </w:numPr>
        <w:tabs>
          <w:tab w:val="left" w:pos="540"/>
        </w:tabs>
        <w:spacing w:beforeLines="0" w:line="360" w:lineRule="auto"/>
        <w:ind w:left="425" w:leftChars="0" w:hanging="5" w:firstLineChars="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固定耦合式安装需配备提升装置（导杆、支架、链等），满足池深要求；</w:t>
      </w:r>
    </w:p>
    <w:p w14:paraId="4D671EBD">
      <w:pPr>
        <w:widowControl/>
        <w:numPr>
          <w:ilvl w:val="0"/>
          <w:numId w:val="6"/>
        </w:numPr>
        <w:tabs>
          <w:tab w:val="left" w:pos="540"/>
        </w:tabs>
        <w:spacing w:beforeLines="0" w:line="360" w:lineRule="auto"/>
        <w:ind w:left="425" w:leftChars="0" w:hanging="5" w:firstLineChars="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固定耦合式需提供20米水下电缆</w:t>
      </w:r>
      <w:r>
        <w:rPr>
          <w:rFonts w:hint="eastAsia" w:cs="宋体"/>
          <w:color w:val="auto"/>
          <w:szCs w:val="21"/>
          <w:highlight w:val="none"/>
          <w:lang w:eastAsia="zh-CN"/>
        </w:rPr>
        <w:t>（</w:t>
      </w:r>
      <w:r>
        <w:rPr>
          <w:rFonts w:hint="eastAsia" w:cs="宋体"/>
          <w:color w:val="auto"/>
          <w:szCs w:val="21"/>
          <w:highlight w:val="none"/>
          <w:lang w:val="en-US" w:eastAsia="zh-CN"/>
        </w:rPr>
        <w:t>含动力和信号电缆</w:t>
      </w:r>
      <w:r>
        <w:rPr>
          <w:rFonts w:hint="eastAsia" w:cs="宋体"/>
          <w:color w:val="auto"/>
          <w:szCs w:val="21"/>
          <w:highlight w:val="none"/>
          <w:lang w:eastAsia="zh-CN"/>
        </w:rPr>
        <w:t>）（</w:t>
      </w:r>
      <w:r>
        <w:rPr>
          <w:rFonts w:hint="eastAsia" w:cs="宋体"/>
          <w:color w:val="auto"/>
          <w:szCs w:val="21"/>
          <w:highlight w:val="none"/>
          <w:lang w:val="en-US" w:eastAsia="zh-CN"/>
        </w:rPr>
        <w:t>参考，具体以接入配电箱为准</w:t>
      </w:r>
      <w:r>
        <w:rPr>
          <w:rFonts w:hint="eastAsia" w:cs="宋体"/>
          <w:color w:val="auto"/>
          <w:szCs w:val="21"/>
          <w:highlight w:val="none"/>
          <w:lang w:eastAsia="zh-CN"/>
        </w:rPr>
        <w:t>）</w:t>
      </w:r>
      <w:r>
        <w:rPr>
          <w:rFonts w:hint="eastAsia" w:ascii="宋体" w:hAnsi="宋体" w:eastAsia="宋体" w:cs="宋体"/>
          <w:color w:val="auto"/>
          <w:szCs w:val="21"/>
          <w:highlight w:val="none"/>
          <w:lang w:eastAsia="zh-CN"/>
        </w:rPr>
        <w:t>及电缆固定的金属网套，满足池深要求；</w:t>
      </w:r>
    </w:p>
    <w:p w14:paraId="41FB8CB0">
      <w:pPr>
        <w:widowControl/>
        <w:numPr>
          <w:ilvl w:val="0"/>
          <w:numId w:val="6"/>
        </w:numPr>
        <w:tabs>
          <w:tab w:val="left" w:pos="540"/>
        </w:tabs>
        <w:spacing w:beforeLines="0" w:line="360" w:lineRule="auto"/>
        <w:ind w:left="425" w:leftChars="0" w:hanging="5" w:firstLineChars="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每台泵须提供故障报警显示器；</w:t>
      </w:r>
    </w:p>
    <w:p w14:paraId="171509E2">
      <w:pPr>
        <w:widowControl/>
        <w:numPr>
          <w:ilvl w:val="0"/>
          <w:numId w:val="6"/>
        </w:numPr>
        <w:tabs>
          <w:tab w:val="left" w:pos="540"/>
        </w:tabs>
        <w:spacing w:beforeLines="0" w:line="360" w:lineRule="auto"/>
        <w:ind w:left="425" w:leftChars="0" w:hanging="5" w:firstLineChars="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水泵需提供定子室泄漏传感器、定子绕组热敏开关、综合监控保护器；</w:t>
      </w:r>
    </w:p>
    <w:p w14:paraId="0D4D5796">
      <w:pPr>
        <w:widowControl/>
        <w:numPr>
          <w:ilvl w:val="0"/>
          <w:numId w:val="6"/>
        </w:numPr>
        <w:tabs>
          <w:tab w:val="left" w:pos="540"/>
        </w:tabs>
        <w:spacing w:beforeLines="0" w:line="360" w:lineRule="auto"/>
        <w:ind w:left="425" w:leftChars="0" w:hanging="5" w:firstLineChars="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备品备件和专用工具（根据业主强制清单提供）；</w:t>
      </w:r>
    </w:p>
    <w:p w14:paraId="09B87978">
      <w:pPr>
        <w:widowControl/>
        <w:numPr>
          <w:ilvl w:val="0"/>
          <w:numId w:val="6"/>
        </w:numPr>
        <w:tabs>
          <w:tab w:val="left" w:pos="540"/>
        </w:tabs>
        <w:spacing w:beforeLines="0" w:line="360" w:lineRule="auto"/>
        <w:ind w:left="425" w:leftChars="0" w:hanging="5" w:firstLineChars="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水泵实际运行系统曲线和初始数据。为了核对泵系统的实际曲线和便于生产及维修管理，中标厂家应在水泵试运行时应对水泵系统的性能效率曲线进行现场实测，并保留原始相关数据交由业主。该数据不作为验收标准。</w:t>
      </w:r>
    </w:p>
    <w:p w14:paraId="20D929C1">
      <w:pPr>
        <w:pStyle w:val="10"/>
        <w:rPr>
          <w:rFonts w:hint="eastAsia"/>
          <w:color w:val="auto"/>
          <w:highlight w:val="none"/>
          <w:lang w:val="en-US" w:eastAsia="zh-CN"/>
        </w:rPr>
      </w:pPr>
    </w:p>
    <w:p w14:paraId="677639C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2"/>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lang w:val="en-US" w:eastAsia="zh-CN"/>
        </w:rPr>
        <w:t>二、</w:t>
      </w:r>
      <w:r>
        <w:rPr>
          <w:rFonts w:hint="eastAsia" w:ascii="宋体" w:hAnsi="宋体" w:eastAsia="宋体" w:cs="宋体"/>
          <w:b/>
          <w:color w:val="auto"/>
          <w:szCs w:val="21"/>
          <w:highlight w:val="none"/>
        </w:rPr>
        <w:t>详细技术参数要求</w:t>
      </w:r>
    </w:p>
    <w:p w14:paraId="07DB15EC">
      <w:pPr>
        <w:keepNext/>
        <w:keepLines/>
        <w:spacing w:before="0" w:line="377" w:lineRule="auto"/>
        <w:jc w:val="left"/>
        <w:outlineLvl w:val="4"/>
        <w:rPr>
          <w:rFonts w:hint="eastAsia" w:ascii="黑体" w:hAnsi="黑体" w:eastAsia="黑体" w:cs="黑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1</w:t>
      </w:r>
      <w:r>
        <w:rPr>
          <w:rFonts w:hint="eastAsia" w:ascii="黑体" w:hAnsi="黑体" w:eastAsia="黑体" w:cs="黑体"/>
          <w:color w:val="auto"/>
          <w:sz w:val="21"/>
          <w:szCs w:val="21"/>
          <w:highlight w:val="none"/>
        </w:rPr>
        <w:t>.</w:t>
      </w:r>
      <w:r>
        <w:rPr>
          <w:rFonts w:hint="eastAsia" w:ascii="黑体" w:hAnsi="黑体" w:eastAsia="黑体" w:cs="黑体"/>
          <w:color w:val="auto"/>
          <w:sz w:val="21"/>
          <w:szCs w:val="21"/>
          <w:highlight w:val="none"/>
          <w:lang w:val="en-US" w:eastAsia="zh-CN"/>
        </w:rPr>
        <w:t>潜水搅拌器</w:t>
      </w:r>
    </w:p>
    <w:p w14:paraId="240310C1">
      <w:pPr>
        <w:keepNext/>
        <w:keepLines/>
        <w:spacing w:before="156" w:after="156" w:afterLines="50" w:line="320" w:lineRule="auto"/>
        <w:outlineLvl w:val="5"/>
        <w:rPr>
          <w:rFonts w:ascii="黑体" w:hAnsi="黑体" w:eastAsia="黑体" w:cs="黑体"/>
          <w:color w:val="auto"/>
          <w:sz w:val="21"/>
          <w:szCs w:val="21"/>
          <w:highlight w:val="none"/>
        </w:rPr>
      </w:pPr>
      <w:r>
        <w:rPr>
          <w:rFonts w:hint="eastAsia" w:ascii="黑体" w:hAnsi="黑体" w:eastAsia="黑体" w:cs="黑体"/>
          <w:color w:val="auto"/>
          <w:sz w:val="21"/>
          <w:szCs w:val="21"/>
          <w:highlight w:val="none"/>
        </w:rPr>
        <w:t>1</w:t>
      </w:r>
      <w:r>
        <w:rPr>
          <w:rFonts w:hint="eastAsia" w:ascii="黑体" w:hAnsi="黑体" w:eastAsia="黑体" w:cs="黑体"/>
          <w:color w:val="auto"/>
          <w:sz w:val="21"/>
          <w:szCs w:val="21"/>
          <w:highlight w:val="none"/>
          <w:lang w:eastAsia="zh-CN"/>
        </w:rPr>
        <w:t>.</w:t>
      </w:r>
      <w:r>
        <w:rPr>
          <w:rFonts w:hint="eastAsia" w:ascii="黑体" w:hAnsi="黑体" w:eastAsia="黑体" w:cs="黑体"/>
          <w:color w:val="auto"/>
          <w:sz w:val="21"/>
          <w:szCs w:val="21"/>
          <w:highlight w:val="none"/>
          <w:lang w:val="en-US" w:eastAsia="zh-CN"/>
        </w:rPr>
        <w:t>1</w:t>
      </w:r>
      <w:r>
        <w:rPr>
          <w:rFonts w:hint="eastAsia" w:ascii="黑体" w:hAnsi="黑体" w:eastAsia="黑体" w:cs="黑体"/>
          <w:color w:val="auto"/>
          <w:sz w:val="21"/>
          <w:szCs w:val="21"/>
          <w:highlight w:val="none"/>
        </w:rPr>
        <w:t>资料提交</w:t>
      </w:r>
    </w:p>
    <w:p w14:paraId="40688E92">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设备进场时供货商应提交下列资料，包括但不限于：</w:t>
      </w:r>
    </w:p>
    <w:p w14:paraId="3A6A4E04">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 1）为了保证本项目推流器及搅拌器的搅拌效果，设备厂家需提供以下（1）-（3）项技术证明资料:</w:t>
      </w:r>
    </w:p>
    <w:p w14:paraId="162ADF5B">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（1）在设计院提供设计图基础上，提供推流器及搅拌器推荐布置图、设备安装图等，承诺协助设计院完成设计工作，确保不会因池中构筑物、水流状态等因素影响，导致设备安装松动或损坏；</w:t>
      </w:r>
    </w:p>
    <w:p w14:paraId="02DAC615">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（2）提供所推荐推流器及搅拌器型号的理论流场图；</w:t>
      </w:r>
    </w:p>
    <w:p w14:paraId="38A0C430">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（3）要求提供各推流器及搅拌器的选型报告，确保推力足够满足相关工艺搅拌需求，防止活性污泥沉降。</w:t>
      </w:r>
    </w:p>
    <w:p w14:paraId="5D10766A">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如有需要，投标人可针对该项目的池形结构和推流器及搅拌器布置，采用计算机流体动力学CFD模拟池内流速流态分布、空气分布情况及沉淀情况，出具的CFD报告中需写明分析及判断依据，进一步确保推流器及搅拌器可以满足推流效果，防止污泥沉淀。</w:t>
      </w:r>
    </w:p>
    <w:p w14:paraId="1025F854">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2） 设备供货时应提供的资料：</w:t>
      </w:r>
    </w:p>
    <w:p w14:paraId="17C4737A">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供方应提交下列资料（8套，中文），但不限于以下内容：</w:t>
      </w:r>
    </w:p>
    <w:p w14:paraId="350C6790">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应提供所有潜水推流器及搅拌器进行连接和焊接的装配图，基础要求以及土建结构的承载力参数情况；</w:t>
      </w:r>
    </w:p>
    <w:p w14:paraId="40444080">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制造及质量保证设施；</w:t>
      </w:r>
    </w:p>
    <w:p w14:paraId="7A43BE85">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试运转前的调试及检测要求；</w:t>
      </w:r>
    </w:p>
    <w:p w14:paraId="306F297C">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自动控制描述；</w:t>
      </w:r>
    </w:p>
    <w:p w14:paraId="580D267A">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操作、使用说明书和维修手册。</w:t>
      </w:r>
    </w:p>
    <w:p w14:paraId="462B492F">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如果是进口产品，提供原产地证明、船运单据、商检证明等。</w:t>
      </w:r>
    </w:p>
    <w:p w14:paraId="6F4C0378">
      <w:pPr>
        <w:keepNext/>
        <w:keepLines/>
        <w:spacing w:before="156" w:after="156" w:afterLines="50" w:line="320" w:lineRule="auto"/>
        <w:outlineLvl w:val="5"/>
        <w:rPr>
          <w:rFonts w:hint="eastAsia" w:ascii="黑体" w:hAnsi="黑体" w:eastAsia="黑体" w:cs="黑体"/>
          <w:color w:val="auto"/>
          <w:sz w:val="21"/>
          <w:szCs w:val="21"/>
          <w:highlight w:val="none"/>
          <w:lang w:eastAsia="zh-CN"/>
        </w:rPr>
      </w:pPr>
      <w:r>
        <w:rPr>
          <w:rFonts w:hint="eastAsia" w:ascii="黑体" w:hAnsi="黑体" w:eastAsia="黑体" w:cs="黑体"/>
          <w:color w:val="auto"/>
          <w:sz w:val="21"/>
          <w:szCs w:val="21"/>
          <w:highlight w:val="none"/>
          <w:lang w:val="en-US" w:eastAsia="zh-CN"/>
        </w:rPr>
        <w:t>1</w:t>
      </w:r>
      <w:r>
        <w:rPr>
          <w:rFonts w:hint="eastAsia" w:ascii="黑体" w:hAnsi="黑体" w:eastAsia="黑体" w:cs="黑体"/>
          <w:color w:val="auto"/>
          <w:sz w:val="21"/>
          <w:szCs w:val="21"/>
          <w:highlight w:val="none"/>
          <w:lang w:eastAsia="zh-CN"/>
        </w:rPr>
        <w:t>.2 潜水搅拌器结构及配置要求</w:t>
      </w:r>
    </w:p>
    <w:p w14:paraId="6BB2E438">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eastAsia="zh-CN"/>
        </w:rPr>
        <w:t>（搅拌器的电机与水力部分由同一个厂商制造）</w:t>
      </w:r>
    </w:p>
    <w:p w14:paraId="371BE042">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val="en-GB" w:eastAsia="zh-CN"/>
        </w:rPr>
      </w:pPr>
      <w:r>
        <w:rPr>
          <w:rFonts w:hint="eastAsia" w:ascii="宋体" w:hAnsi="宋体" w:eastAsia="宋体" w:cs="宋体"/>
          <w:color w:val="auto"/>
          <w:szCs w:val="21"/>
          <w:highlight w:val="none"/>
          <w:lang w:val="en-GB" w:eastAsia="zh-CN"/>
        </w:rPr>
        <w:t>（1）搅拌器的设计</w:t>
      </w:r>
    </w:p>
    <w:p w14:paraId="19288A11">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搅拌器能处理原水和污水。搅拌器可上下升降，方便的移动，检查或维修无需人员进入湿井。滑行杆支架作为搅拌器整体部件之一。搅拌器全部的重量受力在一个支架上，并且这个支架可承受搅拌器形成的推力。搅拌器、附件和电缆可在15米水深持续潜水运行，不会发生泄漏。</w:t>
      </w:r>
    </w:p>
    <w:p w14:paraId="39799A23">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val="en-GB" w:eastAsia="zh-CN"/>
        </w:rPr>
      </w:pPr>
      <w:r>
        <w:rPr>
          <w:rFonts w:hint="eastAsia" w:ascii="宋体" w:hAnsi="宋体" w:eastAsia="宋体" w:cs="宋体"/>
          <w:color w:val="auto"/>
          <w:szCs w:val="21"/>
          <w:highlight w:val="none"/>
          <w:lang w:val="en-GB" w:eastAsia="zh-CN"/>
        </w:rPr>
        <w:t>（2）搅拌器的构造</w:t>
      </w:r>
    </w:p>
    <w:p w14:paraId="2C239EFE">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每台搅拌器为潜水型封闭式连接整体设计。搅拌器所有的组件包括电机可在水下连续运转。所有外露的螺母、螺栓、垫片均为316不锈钢。油室盖是耐腐蚀合成材料。需要防水密封的临界接触面是机械加工，并嵌入两组腈或氟化橡胶O-型圈，两个面上的橡胶O型圈及O型圈接触的四个侧面不需要精确的扭矩限制。不使用需要一定扭矩才能达到压紧效果的形式，也不使用需要一定的矩形截面垫片及密封复合物。</w:t>
      </w:r>
    </w:p>
    <w:p w14:paraId="2BBD6BC2">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val="en-GB" w:eastAsia="zh-CN"/>
        </w:rPr>
      </w:pPr>
      <w:r>
        <w:rPr>
          <w:rFonts w:hint="eastAsia" w:ascii="宋体" w:hAnsi="宋体" w:eastAsia="宋体" w:cs="宋体"/>
          <w:color w:val="auto"/>
          <w:szCs w:val="21"/>
          <w:highlight w:val="none"/>
          <w:lang w:val="en-GB" w:eastAsia="zh-CN"/>
        </w:rPr>
        <w:t>（3）冷却系统</w:t>
      </w:r>
    </w:p>
    <w:p w14:paraId="4D29B8BE">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电机能被周围搅拌介质充分冷却。</w:t>
      </w:r>
    </w:p>
    <w:p w14:paraId="02B955D8">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val="en-GB" w:eastAsia="zh-CN"/>
        </w:rPr>
      </w:pPr>
      <w:r>
        <w:rPr>
          <w:rFonts w:hint="eastAsia" w:ascii="宋体" w:hAnsi="宋体" w:eastAsia="宋体" w:cs="宋体"/>
          <w:color w:val="auto"/>
          <w:szCs w:val="21"/>
          <w:highlight w:val="none"/>
          <w:lang w:val="en-GB" w:eastAsia="zh-CN"/>
        </w:rPr>
        <w:t>（4）电缆入口密封</w:t>
      </w:r>
    </w:p>
    <w:p w14:paraId="349814C3">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电缆接线室是一个带固定板的完整部件。电缆入口处有两套弹性衬套，保证防水和潜水密封。电缆入口包含两个圆柱型弹性衬套。每个衬套带垫圈和一个套圈，连接电缆后应可靠密封，避免外部物质进入。衬套可被一个密封盖挤压，密封管是用两个不锈钢螺丝拧进电缆接线室。</w:t>
      </w:r>
    </w:p>
    <w:p w14:paraId="7B87ECD3">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接线室和电机室之间如配置隔离接线板，该接线板应压紧固定和可靠密封，电缆可安全地连接在接线板上，并保证电缆更换的方便。</w:t>
      </w:r>
    </w:p>
    <w:p w14:paraId="2FDAF43A">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val="en-GB" w:eastAsia="zh-CN"/>
        </w:rPr>
      </w:pPr>
      <w:r>
        <w:rPr>
          <w:rFonts w:hint="eastAsia" w:ascii="宋体" w:hAnsi="宋体" w:eastAsia="宋体" w:cs="宋体"/>
          <w:color w:val="auto"/>
          <w:szCs w:val="21"/>
          <w:highlight w:val="none"/>
          <w:lang w:val="en-GB" w:eastAsia="zh-CN"/>
        </w:rPr>
        <w:t>（5）电机</w:t>
      </w:r>
    </w:p>
    <w:p w14:paraId="78FA5F8D">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搅拌器的电机是鼠笼式感应电机，装在充气的防水的壳内。定子绕组和定子导线的绝缘等级为 F级或以上。定子热缩嵌入铸铁定子室中。不采用需在定子壳上钻孔的螺栓、针和其它连接装置。电机设计成可连续处理搅拌 40</w:t>
      </w:r>
      <w:r>
        <w:rPr>
          <w:rFonts w:hint="eastAsia" w:cs="宋体"/>
          <w:color w:val="auto"/>
          <w:szCs w:val="21"/>
          <w:highlight w:val="none"/>
          <w:lang w:val="en-US" w:eastAsia="zh-CN"/>
        </w:rPr>
        <w:t>℃</w:t>
      </w:r>
      <w:r>
        <w:rPr>
          <w:rFonts w:hint="eastAsia" w:ascii="宋体" w:hAnsi="宋体" w:eastAsia="宋体" w:cs="宋体"/>
          <w:color w:val="auto"/>
          <w:szCs w:val="21"/>
          <w:highlight w:val="none"/>
          <w:lang w:eastAsia="zh-CN"/>
        </w:rPr>
        <w:t xml:space="preserve"> 的介质，每小时可至少起动15次。应设置热敏开关或热敏电阻等保护元件。热敏开关设定在140</w:t>
      </w:r>
      <w:r>
        <w:rPr>
          <w:rFonts w:hint="eastAsia" w:ascii="宋体" w:hAnsi="宋体" w:eastAsia="宋体" w:cs="宋体"/>
          <w:color w:val="auto"/>
          <w:szCs w:val="21"/>
          <w:highlight w:val="none"/>
          <w:lang w:eastAsia="zh-CN"/>
        </w:rPr>
        <w:sym w:font="Symbol" w:char="F0B0"/>
      </w:r>
      <w:r>
        <w:rPr>
          <w:rFonts w:hint="eastAsia" w:ascii="宋体" w:hAnsi="宋体" w:eastAsia="宋体" w:cs="宋体"/>
          <w:color w:val="auto"/>
          <w:szCs w:val="21"/>
          <w:highlight w:val="none"/>
          <w:lang w:eastAsia="zh-CN"/>
        </w:rPr>
        <w:t>C时打开，95</w:t>
      </w:r>
      <w:r>
        <w:rPr>
          <w:rFonts w:hint="eastAsia" w:ascii="宋体" w:hAnsi="宋体" w:eastAsia="宋体" w:cs="宋体"/>
          <w:color w:val="auto"/>
          <w:szCs w:val="21"/>
          <w:highlight w:val="none"/>
          <w:lang w:eastAsia="zh-CN"/>
        </w:rPr>
        <w:sym w:font="Symbol" w:char="F0B0"/>
      </w:r>
      <w:r>
        <w:rPr>
          <w:rFonts w:hint="eastAsia" w:ascii="宋体" w:hAnsi="宋体" w:eastAsia="宋体" w:cs="宋体"/>
          <w:color w:val="auto"/>
          <w:szCs w:val="21"/>
          <w:highlight w:val="none"/>
          <w:lang w:eastAsia="zh-CN"/>
        </w:rPr>
        <w:t>C时关闭，并嵌在定子线圈中对每相绕组的温度进行监控。这些热敏开与外部的电机过载保护配合使用并作为后者的补充，并与电控柜相连。</w:t>
      </w:r>
    </w:p>
    <w:p w14:paraId="06C95353">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电机的允许电压波动为 +/- 10% ，电机设计成可在最高40</w:t>
      </w:r>
      <w:r>
        <w:rPr>
          <w:rFonts w:hint="eastAsia" w:cs="宋体"/>
          <w:color w:val="auto"/>
          <w:szCs w:val="21"/>
          <w:highlight w:val="none"/>
          <w:lang w:val="en-US" w:eastAsia="zh-CN"/>
        </w:rPr>
        <w:t>℃</w:t>
      </w:r>
      <w:r>
        <w:rPr>
          <w:rFonts w:hint="eastAsia" w:ascii="宋体" w:hAnsi="宋体" w:eastAsia="宋体" w:cs="宋体"/>
          <w:color w:val="auto"/>
          <w:szCs w:val="21"/>
          <w:highlight w:val="none"/>
          <w:lang w:eastAsia="zh-CN"/>
        </w:rPr>
        <w:t xml:space="preserve">环境下工作，并且定子绕组的平均温度不超过85 </w:t>
      </w:r>
      <w:r>
        <w:rPr>
          <w:rFonts w:hint="eastAsia" w:cs="宋体"/>
          <w:color w:val="auto"/>
          <w:szCs w:val="21"/>
          <w:highlight w:val="none"/>
          <w:lang w:val="en-US" w:eastAsia="zh-CN"/>
        </w:rPr>
        <w:t>℃</w:t>
      </w:r>
      <w:r>
        <w:rPr>
          <w:rFonts w:hint="eastAsia" w:ascii="宋体" w:hAnsi="宋体" w:eastAsia="宋体" w:cs="宋体"/>
          <w:color w:val="auto"/>
          <w:szCs w:val="21"/>
          <w:highlight w:val="none"/>
          <w:lang w:eastAsia="zh-CN"/>
        </w:rPr>
        <w:t>，提供一份能显示转矩、电流、功率因素、输入/输出功率和效率的性能表。该性能表还包含起动和零负荷特性的数据。电机和电缆能够持续在水下工作，水密性符合IP68防护等级要求。电机额定功率足够保证搅拌器在整个性能曲线上不会发生过载。配套热敏开关和保护传感器。</w:t>
      </w:r>
    </w:p>
    <w:p w14:paraId="6C9A5980">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val="en-GB" w:eastAsia="zh-CN"/>
        </w:rPr>
      </w:pPr>
      <w:r>
        <w:rPr>
          <w:rFonts w:hint="eastAsia" w:ascii="宋体" w:hAnsi="宋体" w:eastAsia="宋体" w:cs="宋体"/>
          <w:color w:val="auto"/>
          <w:szCs w:val="21"/>
          <w:highlight w:val="none"/>
          <w:lang w:val="en-GB" w:eastAsia="zh-CN"/>
        </w:rPr>
        <w:t>（6）轴承</w:t>
      </w:r>
    </w:p>
    <w:p w14:paraId="08D1B6D4">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水泵和电机的轴是连续无间断的轴，轴在油脂润滑的三个轴承上转动。上轴承包括一个滚珠轴承承担径向力及一个角接触球轴承来承担轴向力。主轴承是一个角接触球轴承用于承担轴向力和径向力。所有轴承的设计寿命最小为 100,000 小时。</w:t>
      </w:r>
    </w:p>
    <w:p w14:paraId="07910BDF">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val="en-GB" w:eastAsia="zh-CN"/>
        </w:rPr>
      </w:pPr>
      <w:r>
        <w:rPr>
          <w:rFonts w:hint="eastAsia" w:ascii="宋体" w:hAnsi="宋体" w:eastAsia="宋体" w:cs="宋体"/>
          <w:color w:val="auto"/>
          <w:szCs w:val="21"/>
          <w:highlight w:val="none"/>
          <w:lang w:val="en-GB" w:eastAsia="zh-CN"/>
        </w:rPr>
        <w:t>（7）机械密封</w:t>
      </w:r>
    </w:p>
    <w:p w14:paraId="42559572">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GB" w:eastAsia="zh-CN"/>
        </w:rPr>
        <w:t>每台搅拌器配有一个上下两道串联的且双重独立的机械密封。密封在一个油腔内运行，该油腔能以一稳定的流速对密封面进行润滑。内外机械密封材质应均为耐腐蚀烧结碳化硅或碳化钨。外机械密封应避免搅拌液进入油腔，避免油腔中的油进入电机，内外机械密封各自独立地运行。</w:t>
      </w:r>
      <w:r>
        <w:rPr>
          <w:rFonts w:hint="eastAsia" w:ascii="宋体" w:hAnsi="宋体" w:eastAsia="宋体" w:cs="宋体"/>
          <w:color w:val="auto"/>
          <w:szCs w:val="21"/>
          <w:highlight w:val="none"/>
          <w:lang w:eastAsia="zh-CN"/>
        </w:rPr>
        <w:t>机械密封的使用寿命不低于25,000小时。</w:t>
      </w:r>
    </w:p>
    <w:p w14:paraId="6C67DAA5">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val="en-GB" w:eastAsia="zh-CN"/>
        </w:rPr>
      </w:pPr>
      <w:r>
        <w:rPr>
          <w:rFonts w:hint="eastAsia" w:ascii="宋体" w:hAnsi="宋体" w:eastAsia="宋体" w:cs="宋体"/>
          <w:color w:val="auto"/>
          <w:szCs w:val="21"/>
          <w:highlight w:val="none"/>
          <w:lang w:val="en-GB" w:eastAsia="zh-CN"/>
        </w:rPr>
        <w:t>（8）搅拌器轴</w:t>
      </w:r>
    </w:p>
    <w:p w14:paraId="48EBC17D">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val="en-GB" w:eastAsia="zh-CN"/>
        </w:rPr>
      </w:pPr>
      <w:r>
        <w:rPr>
          <w:rFonts w:hint="eastAsia" w:ascii="宋体" w:hAnsi="宋体" w:eastAsia="宋体" w:cs="宋体"/>
          <w:color w:val="auto"/>
          <w:szCs w:val="21"/>
          <w:highlight w:val="none"/>
          <w:lang w:eastAsia="zh-CN"/>
        </w:rPr>
        <w:t>螺旋浆和电机的轴是同一个，螺旋桨所的轴是电机轴的延伸。不采用耦联方式。轴的材料为不锈钢。（污泥调理池中的轴为碳钢衬胶），螺旋桨轴完全与搅拌介质隔离。</w:t>
      </w:r>
    </w:p>
    <w:p w14:paraId="739568AD">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val="en-GB" w:eastAsia="zh-CN"/>
        </w:rPr>
      </w:pPr>
      <w:r>
        <w:rPr>
          <w:rFonts w:hint="eastAsia" w:ascii="宋体" w:hAnsi="宋体" w:eastAsia="宋体" w:cs="宋体"/>
          <w:color w:val="auto"/>
          <w:szCs w:val="21"/>
          <w:highlight w:val="none"/>
          <w:lang w:val="en-GB" w:eastAsia="zh-CN"/>
        </w:rPr>
        <w:t>（9）叶轮</w:t>
      </w:r>
    </w:p>
    <w:p w14:paraId="43B48820">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叶轮材质为316L不锈钢或更优（对于污泥介质，如污泥调理池叶轮为碳钢衬胶），三个叶片设计，采用水力平衡的无堵塞的后扫式设计。叶轮能处理常规污水。</w:t>
      </w:r>
    </w:p>
    <w:p w14:paraId="4909491F">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val="en-GB" w:eastAsia="zh-CN"/>
        </w:rPr>
      </w:pPr>
      <w:r>
        <w:rPr>
          <w:rFonts w:hint="eastAsia" w:ascii="宋体" w:hAnsi="宋体" w:eastAsia="宋体" w:cs="宋体"/>
          <w:color w:val="auto"/>
          <w:szCs w:val="21"/>
          <w:highlight w:val="none"/>
          <w:lang w:val="en-GB" w:eastAsia="zh-CN"/>
        </w:rPr>
        <w:t>（10）导流环</w:t>
      </w:r>
    </w:p>
    <w:p w14:paraId="1B2A90FD">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搅拌器的叶轮周围360</w:t>
      </w:r>
      <w:r>
        <w:rPr>
          <w:rFonts w:hint="eastAsia" w:cs="宋体"/>
          <w:color w:val="auto"/>
          <w:szCs w:val="21"/>
          <w:highlight w:val="none"/>
          <w:lang w:val="en-US" w:eastAsia="zh-CN"/>
        </w:rPr>
        <w:t>°</w:t>
      </w:r>
      <w:r>
        <w:rPr>
          <w:rFonts w:hint="eastAsia" w:ascii="宋体" w:hAnsi="宋体" w:eastAsia="宋体" w:cs="宋体"/>
          <w:color w:val="auto"/>
          <w:szCs w:val="21"/>
          <w:highlight w:val="none"/>
          <w:lang w:eastAsia="zh-CN"/>
        </w:rPr>
        <w:t>范围内装配一导流环。导流环为316L不锈钢。为维持水力效率和能量消耗，螺旋桨顶端至导流环的最大间隙为 16.5 mm。</w:t>
      </w:r>
    </w:p>
    <w:p w14:paraId="162466B8">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val="en-GB" w:eastAsia="zh-CN"/>
        </w:rPr>
      </w:pPr>
      <w:r>
        <w:rPr>
          <w:rFonts w:hint="eastAsia" w:ascii="宋体" w:hAnsi="宋体" w:eastAsia="宋体" w:cs="宋体"/>
          <w:color w:val="auto"/>
          <w:szCs w:val="21"/>
          <w:highlight w:val="none"/>
          <w:lang w:val="en-GB" w:eastAsia="zh-CN"/>
        </w:rPr>
        <w:t>（11）保护</w:t>
      </w:r>
    </w:p>
    <w:p w14:paraId="79A60004">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所有的电机中每相绕组都连接热敏开关或其他保护元件，热敏开关在140</w:t>
      </w:r>
      <w:r>
        <w:rPr>
          <w:rFonts w:hint="eastAsia" w:ascii="宋体" w:hAnsi="宋体" w:eastAsia="宋体" w:cs="宋体"/>
          <w:color w:val="auto"/>
          <w:szCs w:val="21"/>
          <w:highlight w:val="none"/>
          <w:lang w:eastAsia="zh-CN"/>
        </w:rPr>
        <w:sym w:font="Courier New" w:char="00B0"/>
      </w:r>
      <w:r>
        <w:rPr>
          <w:rFonts w:hint="eastAsia" w:ascii="宋体" w:hAnsi="宋体" w:eastAsia="宋体" w:cs="宋体"/>
          <w:color w:val="auto"/>
          <w:szCs w:val="21"/>
          <w:highlight w:val="none"/>
          <w:lang w:eastAsia="zh-CN"/>
        </w:rPr>
        <w:t>C时动作，电机停止转动并报警。</w:t>
      </w:r>
    </w:p>
    <w:p w14:paraId="3CAAFAE3">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油室或定子室泄漏传感器：泄漏传感器是一个小浮子开关以监测定子室的泄漏液体状况。一旦出现情况，能及时报警和关闭电机。</w:t>
      </w:r>
    </w:p>
    <w:p w14:paraId="53C5843D">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监控保护，提供可装在电控柜中的监控继电器。</w:t>
      </w:r>
    </w:p>
    <w:p w14:paraId="4F64CDE8">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val="en-GB" w:eastAsia="zh-CN"/>
        </w:rPr>
      </w:pPr>
      <w:r>
        <w:rPr>
          <w:rFonts w:hint="eastAsia" w:ascii="宋体" w:hAnsi="宋体" w:eastAsia="宋体" w:cs="宋体"/>
          <w:color w:val="auto"/>
          <w:szCs w:val="21"/>
          <w:highlight w:val="none"/>
          <w:lang w:val="en-GB" w:eastAsia="zh-CN"/>
        </w:rPr>
        <w:t>（12）搅拌器提升支架</w:t>
      </w:r>
    </w:p>
    <w:p w14:paraId="00926757">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搅拌器支架采用单导杆系统，支架可在水平方向0－180度之间每隔10度调整，导杆、水上提升吊架、吊架插筒均为316不锈钢材质，导杆横截面尺寸应不小于100mm（长）*100mm(宽)*5mm(壁厚) ,并需要提供池中搅拌器满负荷运行时支架系统的强度校核报告 ，不接受水泥墩与不锈钢导杆相结合的支架系统。</w:t>
      </w:r>
    </w:p>
    <w:p w14:paraId="3AE8C257">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每台搅拌器或搅拌器配置专用提升装置，专用提升装置应能准确、安全、方便地安装和提升设备。投标人提供所有连接附件、安装用螺栓，材质为316不锈钢，螺栓需选用质量可靠的品牌。</w:t>
      </w:r>
    </w:p>
    <w:p w14:paraId="078474AB">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val="en-GB" w:eastAsia="zh-CN"/>
        </w:rPr>
      </w:pPr>
      <w:r>
        <w:rPr>
          <w:rFonts w:hint="eastAsia" w:ascii="宋体" w:hAnsi="宋体" w:eastAsia="宋体" w:cs="宋体"/>
          <w:color w:val="auto"/>
          <w:szCs w:val="21"/>
          <w:highlight w:val="none"/>
          <w:lang w:val="en-GB" w:eastAsia="zh-CN"/>
        </w:rPr>
        <w:t>（13）主要零部件材料</w:t>
      </w:r>
    </w:p>
    <w:tbl>
      <w:tblPr>
        <w:tblStyle w:val="27"/>
        <w:tblW w:w="89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2551"/>
        <w:gridCol w:w="5670"/>
      </w:tblGrid>
      <w:tr w14:paraId="751B1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Pr>
          <w:p w14:paraId="5918E86F">
            <w:pPr>
              <w:widowControl/>
              <w:tabs>
                <w:tab w:val="left" w:pos="540"/>
              </w:tabs>
              <w:spacing w:beforeLines="0" w:line="360" w:lineRule="auto"/>
              <w:jc w:val="center"/>
              <w:rPr>
                <w:rFonts w:hint="eastAsia" w:ascii="宋体" w:hAnsi="宋体" w:eastAsia="宋体" w:cs="宋体"/>
                <w:b/>
                <w:bCs/>
                <w:i w:val="0"/>
                <w:iCs w:val="0"/>
                <w:color w:val="auto"/>
                <w:szCs w:val="21"/>
                <w:highlight w:val="none"/>
                <w:lang w:eastAsia="zh-CN"/>
              </w:rPr>
            </w:pPr>
            <w:r>
              <w:rPr>
                <w:rFonts w:hint="eastAsia" w:ascii="宋体" w:hAnsi="宋体" w:eastAsia="宋体" w:cs="宋体"/>
                <w:b/>
                <w:bCs/>
                <w:i w:val="0"/>
                <w:iCs w:val="0"/>
                <w:color w:val="auto"/>
                <w:szCs w:val="21"/>
                <w:highlight w:val="none"/>
                <w:lang w:eastAsia="zh-CN"/>
              </w:rPr>
              <w:t>序号</w:t>
            </w:r>
          </w:p>
        </w:tc>
        <w:tc>
          <w:tcPr>
            <w:tcW w:w="2551" w:type="dxa"/>
            <w:vAlign w:val="center"/>
          </w:tcPr>
          <w:p w14:paraId="00E7724F">
            <w:pPr>
              <w:widowControl/>
              <w:tabs>
                <w:tab w:val="left" w:pos="540"/>
              </w:tabs>
              <w:spacing w:beforeLines="0" w:line="360" w:lineRule="auto"/>
              <w:jc w:val="center"/>
              <w:rPr>
                <w:rFonts w:hint="eastAsia" w:ascii="宋体" w:hAnsi="宋体" w:eastAsia="宋体" w:cs="宋体"/>
                <w:b/>
                <w:bCs/>
                <w:i w:val="0"/>
                <w:iCs w:val="0"/>
                <w:color w:val="auto"/>
                <w:szCs w:val="21"/>
                <w:highlight w:val="none"/>
                <w:lang w:eastAsia="zh-CN"/>
              </w:rPr>
            </w:pPr>
            <w:r>
              <w:rPr>
                <w:rFonts w:hint="eastAsia" w:ascii="宋体" w:hAnsi="宋体" w:eastAsia="宋体" w:cs="宋体"/>
                <w:b/>
                <w:bCs/>
                <w:i w:val="0"/>
                <w:iCs w:val="0"/>
                <w:color w:val="auto"/>
                <w:szCs w:val="21"/>
                <w:highlight w:val="none"/>
                <w:lang w:eastAsia="zh-CN"/>
              </w:rPr>
              <w:t>部件名称</w:t>
            </w:r>
          </w:p>
        </w:tc>
        <w:tc>
          <w:tcPr>
            <w:tcW w:w="5670" w:type="dxa"/>
            <w:vAlign w:val="center"/>
          </w:tcPr>
          <w:p w14:paraId="3C0B0728">
            <w:pPr>
              <w:widowControl/>
              <w:tabs>
                <w:tab w:val="left" w:pos="540"/>
              </w:tabs>
              <w:spacing w:beforeLines="0" w:line="360" w:lineRule="auto"/>
              <w:jc w:val="center"/>
              <w:rPr>
                <w:rFonts w:hint="eastAsia" w:ascii="宋体" w:hAnsi="宋体" w:eastAsia="宋体" w:cs="宋体"/>
                <w:b/>
                <w:bCs/>
                <w:i w:val="0"/>
                <w:iCs w:val="0"/>
                <w:color w:val="auto"/>
                <w:szCs w:val="21"/>
                <w:highlight w:val="none"/>
                <w:lang w:eastAsia="zh-CN"/>
              </w:rPr>
            </w:pPr>
            <w:r>
              <w:rPr>
                <w:rFonts w:hint="eastAsia" w:ascii="宋体" w:hAnsi="宋体" w:eastAsia="宋体" w:cs="宋体"/>
                <w:b/>
                <w:bCs/>
                <w:i w:val="0"/>
                <w:iCs w:val="0"/>
                <w:color w:val="auto"/>
                <w:szCs w:val="21"/>
                <w:highlight w:val="none"/>
                <w:lang w:eastAsia="zh-CN"/>
              </w:rPr>
              <w:t>材质要求</w:t>
            </w:r>
          </w:p>
        </w:tc>
      </w:tr>
      <w:tr w14:paraId="67780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Pr>
          <w:p w14:paraId="0503264C">
            <w:pPr>
              <w:widowControl/>
              <w:tabs>
                <w:tab w:val="left" w:pos="540"/>
              </w:tabs>
              <w:spacing w:beforeLines="0"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1</w:t>
            </w:r>
          </w:p>
        </w:tc>
        <w:tc>
          <w:tcPr>
            <w:tcW w:w="2551" w:type="dxa"/>
            <w:vAlign w:val="center"/>
          </w:tcPr>
          <w:p w14:paraId="4FE6B5BB">
            <w:pPr>
              <w:widowControl/>
              <w:tabs>
                <w:tab w:val="left" w:pos="540"/>
              </w:tabs>
              <w:spacing w:beforeLines="0"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搅拌器电机壳体</w:t>
            </w:r>
          </w:p>
        </w:tc>
        <w:tc>
          <w:tcPr>
            <w:tcW w:w="5670" w:type="dxa"/>
            <w:vAlign w:val="center"/>
          </w:tcPr>
          <w:p w14:paraId="27DE1C6A">
            <w:pPr>
              <w:widowControl/>
              <w:tabs>
                <w:tab w:val="left" w:pos="540"/>
              </w:tabs>
              <w:spacing w:beforeLines="0"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满足氯离子要求 ，电机壳体配锌阳极保护</w:t>
            </w:r>
          </w:p>
        </w:tc>
      </w:tr>
      <w:tr w14:paraId="7FC1D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Pr>
          <w:p w14:paraId="653D8B63">
            <w:pPr>
              <w:widowControl/>
              <w:tabs>
                <w:tab w:val="left" w:pos="540"/>
              </w:tabs>
              <w:spacing w:beforeLines="0"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2</w:t>
            </w:r>
          </w:p>
        </w:tc>
        <w:tc>
          <w:tcPr>
            <w:tcW w:w="2551" w:type="dxa"/>
            <w:vAlign w:val="center"/>
          </w:tcPr>
          <w:p w14:paraId="1E6A93D3">
            <w:pPr>
              <w:widowControl/>
              <w:tabs>
                <w:tab w:val="left" w:pos="540"/>
              </w:tabs>
              <w:spacing w:beforeLines="0"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叶轮</w:t>
            </w:r>
          </w:p>
        </w:tc>
        <w:tc>
          <w:tcPr>
            <w:tcW w:w="5670" w:type="dxa"/>
            <w:vAlign w:val="center"/>
          </w:tcPr>
          <w:p w14:paraId="4B41D18E">
            <w:pPr>
              <w:widowControl/>
              <w:tabs>
                <w:tab w:val="left" w:pos="540"/>
              </w:tabs>
              <w:spacing w:beforeLines="0"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不低于316L不锈钢</w:t>
            </w:r>
          </w:p>
        </w:tc>
      </w:tr>
      <w:tr w14:paraId="08576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Pr>
          <w:p w14:paraId="7E5B793F">
            <w:pPr>
              <w:widowControl/>
              <w:tabs>
                <w:tab w:val="left" w:pos="540"/>
              </w:tabs>
              <w:spacing w:beforeLines="0"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3</w:t>
            </w:r>
          </w:p>
        </w:tc>
        <w:tc>
          <w:tcPr>
            <w:tcW w:w="2551" w:type="dxa"/>
            <w:vAlign w:val="center"/>
          </w:tcPr>
          <w:p w14:paraId="12266F83">
            <w:pPr>
              <w:widowControl/>
              <w:tabs>
                <w:tab w:val="left" w:pos="540"/>
              </w:tabs>
              <w:spacing w:beforeLines="0"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导流环</w:t>
            </w:r>
          </w:p>
        </w:tc>
        <w:tc>
          <w:tcPr>
            <w:tcW w:w="5670" w:type="dxa"/>
            <w:vAlign w:val="center"/>
          </w:tcPr>
          <w:p w14:paraId="15D1A263">
            <w:pPr>
              <w:widowControl/>
              <w:tabs>
                <w:tab w:val="left" w:pos="540"/>
              </w:tabs>
              <w:spacing w:beforeLines="0"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316L不锈钢或更优材质</w:t>
            </w:r>
          </w:p>
        </w:tc>
      </w:tr>
      <w:tr w14:paraId="654E8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tcPr>
          <w:p w14:paraId="0EBF1767">
            <w:pPr>
              <w:widowControl/>
              <w:tabs>
                <w:tab w:val="left" w:pos="540"/>
              </w:tabs>
              <w:spacing w:beforeLines="0"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4</w:t>
            </w:r>
          </w:p>
        </w:tc>
        <w:tc>
          <w:tcPr>
            <w:tcW w:w="2551" w:type="dxa"/>
            <w:vAlign w:val="center"/>
          </w:tcPr>
          <w:p w14:paraId="01BBEE4C">
            <w:pPr>
              <w:widowControl/>
              <w:tabs>
                <w:tab w:val="left" w:pos="540"/>
              </w:tabs>
              <w:spacing w:beforeLines="0"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搅拌器轴</w:t>
            </w:r>
          </w:p>
        </w:tc>
        <w:tc>
          <w:tcPr>
            <w:tcW w:w="5670" w:type="dxa"/>
            <w:vAlign w:val="center"/>
          </w:tcPr>
          <w:p w14:paraId="75F63B24">
            <w:pPr>
              <w:widowControl/>
              <w:tabs>
                <w:tab w:val="left" w:pos="540"/>
              </w:tabs>
              <w:spacing w:beforeLines="0"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不锈钢或更优材质</w:t>
            </w:r>
          </w:p>
        </w:tc>
      </w:tr>
      <w:tr w14:paraId="65787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vAlign w:val="center"/>
          </w:tcPr>
          <w:p w14:paraId="3DFD58F5">
            <w:pPr>
              <w:widowControl/>
              <w:tabs>
                <w:tab w:val="left" w:pos="540"/>
              </w:tabs>
              <w:spacing w:beforeLines="0"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5</w:t>
            </w:r>
          </w:p>
        </w:tc>
        <w:tc>
          <w:tcPr>
            <w:tcW w:w="2551" w:type="dxa"/>
            <w:vAlign w:val="center"/>
          </w:tcPr>
          <w:p w14:paraId="52BEC1C2">
            <w:pPr>
              <w:widowControl/>
              <w:tabs>
                <w:tab w:val="left" w:pos="540"/>
              </w:tabs>
              <w:spacing w:beforeLines="0"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导杆</w:t>
            </w:r>
          </w:p>
        </w:tc>
        <w:tc>
          <w:tcPr>
            <w:tcW w:w="5670" w:type="dxa"/>
            <w:vAlign w:val="center"/>
          </w:tcPr>
          <w:p w14:paraId="4BF7538E">
            <w:pPr>
              <w:widowControl/>
              <w:tabs>
                <w:tab w:val="left" w:pos="540"/>
              </w:tabs>
              <w:spacing w:beforeLines="0"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316L不锈钢，导杆横截面尺寸不小于100mm（长）*100mm(宽)*5mm(壁厚)</w:t>
            </w:r>
          </w:p>
        </w:tc>
      </w:tr>
      <w:tr w14:paraId="583E7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vAlign w:val="center"/>
          </w:tcPr>
          <w:p w14:paraId="044AD9F4">
            <w:pPr>
              <w:widowControl/>
              <w:tabs>
                <w:tab w:val="left" w:pos="540"/>
              </w:tabs>
              <w:spacing w:beforeLines="0"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6</w:t>
            </w:r>
          </w:p>
        </w:tc>
        <w:tc>
          <w:tcPr>
            <w:tcW w:w="2551" w:type="dxa"/>
            <w:vAlign w:val="center"/>
          </w:tcPr>
          <w:p w14:paraId="02C3DFF6">
            <w:pPr>
              <w:widowControl/>
              <w:tabs>
                <w:tab w:val="left" w:pos="540"/>
              </w:tabs>
              <w:spacing w:beforeLines="0"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链</w:t>
            </w:r>
          </w:p>
        </w:tc>
        <w:tc>
          <w:tcPr>
            <w:tcW w:w="5670" w:type="dxa"/>
            <w:vAlign w:val="center"/>
          </w:tcPr>
          <w:p w14:paraId="051CDCDE">
            <w:pPr>
              <w:widowControl/>
              <w:tabs>
                <w:tab w:val="left" w:pos="540"/>
              </w:tabs>
              <w:spacing w:beforeLines="0"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316L不锈钢或更优材质</w:t>
            </w:r>
          </w:p>
        </w:tc>
      </w:tr>
      <w:tr w14:paraId="1F913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vAlign w:val="center"/>
          </w:tcPr>
          <w:p w14:paraId="4433480D">
            <w:pPr>
              <w:widowControl/>
              <w:tabs>
                <w:tab w:val="left" w:pos="540"/>
              </w:tabs>
              <w:spacing w:beforeLines="0"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7</w:t>
            </w:r>
          </w:p>
        </w:tc>
        <w:tc>
          <w:tcPr>
            <w:tcW w:w="2551" w:type="dxa"/>
            <w:vAlign w:val="center"/>
          </w:tcPr>
          <w:p w14:paraId="27ABF053">
            <w:pPr>
              <w:widowControl/>
              <w:tabs>
                <w:tab w:val="left" w:pos="540"/>
              </w:tabs>
              <w:spacing w:beforeLines="0"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插筒、起吊架</w:t>
            </w:r>
          </w:p>
        </w:tc>
        <w:tc>
          <w:tcPr>
            <w:tcW w:w="5670" w:type="dxa"/>
            <w:vAlign w:val="center"/>
          </w:tcPr>
          <w:p w14:paraId="598014D3">
            <w:pPr>
              <w:widowControl/>
              <w:tabs>
                <w:tab w:val="left" w:pos="540"/>
              </w:tabs>
              <w:spacing w:beforeLines="0"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316L不锈钢，壁厚不小于5mm（浓水MBR池起吊架钢衬塑）</w:t>
            </w:r>
          </w:p>
        </w:tc>
      </w:tr>
      <w:tr w14:paraId="5DF18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13" w:type="dxa"/>
            <w:vAlign w:val="center"/>
          </w:tcPr>
          <w:p w14:paraId="464240B4">
            <w:pPr>
              <w:widowControl/>
              <w:tabs>
                <w:tab w:val="left" w:pos="540"/>
              </w:tabs>
              <w:spacing w:beforeLines="0"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8</w:t>
            </w:r>
          </w:p>
        </w:tc>
        <w:tc>
          <w:tcPr>
            <w:tcW w:w="2551" w:type="dxa"/>
            <w:vAlign w:val="center"/>
          </w:tcPr>
          <w:p w14:paraId="77CFA5B9">
            <w:pPr>
              <w:widowControl/>
              <w:tabs>
                <w:tab w:val="left" w:pos="540"/>
              </w:tabs>
              <w:spacing w:beforeLines="0"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所有连接附件、地脚螺栓</w:t>
            </w:r>
          </w:p>
        </w:tc>
        <w:tc>
          <w:tcPr>
            <w:tcW w:w="5670" w:type="dxa"/>
            <w:vAlign w:val="center"/>
          </w:tcPr>
          <w:p w14:paraId="695E6332">
            <w:pPr>
              <w:widowControl/>
              <w:tabs>
                <w:tab w:val="left" w:pos="540"/>
              </w:tabs>
              <w:spacing w:beforeLines="0"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不低于316L不锈钢或者更优材质</w:t>
            </w:r>
          </w:p>
        </w:tc>
      </w:tr>
    </w:tbl>
    <w:p w14:paraId="0F34BB8B">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同时投标单位需充分考虑水质水量情况，在需满足系统运行要求下可对潜水搅拌器的材质及相关技术参数进行优化，但不得低于此文件标准。</w:t>
      </w:r>
    </w:p>
    <w:p w14:paraId="1DEA4470">
      <w:pPr>
        <w:keepNext/>
        <w:keepLines/>
        <w:spacing w:before="156" w:after="156" w:afterLines="50" w:line="320" w:lineRule="auto"/>
        <w:outlineLvl w:val="5"/>
        <w:rPr>
          <w:rFonts w:hint="eastAsia" w:ascii="黑体" w:hAnsi="黑体" w:eastAsia="黑体" w:cs="黑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1.3.电气及自控要求</w:t>
      </w:r>
    </w:p>
    <w:p w14:paraId="1D70ED73">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潜水搅拌架设备清单中包含设备与设备连接的配套电缆（均暂定</w:t>
      </w:r>
      <w:r>
        <w:rPr>
          <w:rFonts w:hint="eastAsia" w:cs="宋体"/>
          <w:color w:val="auto"/>
          <w:szCs w:val="21"/>
          <w:highlight w:val="none"/>
          <w:lang w:val="en-US" w:eastAsia="zh-CN"/>
        </w:rPr>
        <w:t>20</w:t>
      </w:r>
      <w:r>
        <w:rPr>
          <w:rFonts w:hint="eastAsia" w:ascii="宋体" w:hAnsi="宋体" w:eastAsia="宋体" w:cs="宋体"/>
          <w:color w:val="auto"/>
          <w:szCs w:val="21"/>
          <w:highlight w:val="none"/>
          <w:lang w:eastAsia="zh-CN"/>
        </w:rPr>
        <w:t>m），最终配套电缆长度须满足现场安装要求，设备配套的底座、导杆、起吊装置、螺栓、预埋件等设备安装所需的所有附件。无需含配套现场控制柜。电缆不允许有中间接头。</w:t>
      </w:r>
    </w:p>
    <w:p w14:paraId="2360CC38">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1.4</w:t>
      </w:r>
      <w:r>
        <w:rPr>
          <w:rFonts w:hint="eastAsia" w:ascii="宋体" w:hAnsi="宋体" w:eastAsia="宋体" w:cs="宋体"/>
          <w:color w:val="auto"/>
          <w:szCs w:val="21"/>
          <w:highlight w:val="none"/>
          <w:lang w:eastAsia="zh-CN"/>
        </w:rPr>
        <w:t>.其它要求</w:t>
      </w:r>
    </w:p>
    <w:p w14:paraId="797E9B8F">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投标单位需对招标方提供搅拌机/搅拌器的CFD软件资料，复核的清单中的设备参数满足现场水力学参数要求。</w:t>
      </w:r>
    </w:p>
    <w:p w14:paraId="0C16F0D5">
      <w:pPr>
        <w:keepNext/>
        <w:keepLines/>
        <w:spacing w:before="280" w:line="376" w:lineRule="auto"/>
        <w:jc w:val="left"/>
        <w:outlineLvl w:val="4"/>
        <w:rPr>
          <w:rFonts w:hint="eastAsia" w:ascii="黑体" w:hAnsi="黑体" w:eastAsia="黑体" w:cs="黑体"/>
          <w:color w:val="auto"/>
          <w:sz w:val="24"/>
          <w:highlight w:val="none"/>
          <w:lang w:val="en-US" w:eastAsia="zh-CN"/>
        </w:rPr>
      </w:pPr>
      <w:r>
        <w:rPr>
          <w:rFonts w:hint="eastAsia" w:ascii="黑体" w:hAnsi="黑体" w:eastAsia="黑体" w:cs="黑体"/>
          <w:color w:val="auto"/>
          <w:sz w:val="24"/>
          <w:highlight w:val="none"/>
          <w:lang w:val="en-US" w:eastAsia="zh-CN"/>
        </w:rPr>
        <w:t>2.水泵设备</w:t>
      </w:r>
    </w:p>
    <w:p w14:paraId="3811963E">
      <w:pPr>
        <w:keepNext/>
        <w:keepLines/>
        <w:pageBreakBefore w:val="0"/>
        <w:numPr>
          <w:ilvl w:val="2"/>
          <w:numId w:val="0"/>
        </w:numPr>
        <w:tabs>
          <w:tab w:val="left" w:pos="720"/>
        </w:tabs>
        <w:kinsoku/>
        <w:wordWrap/>
        <w:overflowPunct/>
        <w:topLinePunct w:val="0"/>
        <w:bidi w:val="0"/>
        <w:adjustRightInd/>
        <w:spacing w:before="156" w:after="156" w:afterLines="50" w:line="360" w:lineRule="auto"/>
        <w:textAlignment w:val="auto"/>
        <w:outlineLvl w:val="5"/>
        <w:rPr>
          <w:rFonts w:ascii="黑体" w:hAnsi="黑体" w:eastAsia="黑体" w:cs="黑体"/>
          <w:color w:val="auto"/>
          <w:sz w:val="21"/>
          <w:szCs w:val="21"/>
          <w:highlight w:val="none"/>
        </w:rPr>
      </w:pPr>
      <w:r>
        <w:rPr>
          <w:rFonts w:hint="eastAsia" w:ascii="黑体" w:hAnsi="黑体" w:eastAsia="黑体" w:cs="黑体"/>
          <w:color w:val="auto"/>
          <w:sz w:val="21"/>
          <w:szCs w:val="21"/>
          <w:highlight w:val="none"/>
          <w:lang w:val="en-US" w:eastAsia="zh-CN"/>
        </w:rPr>
        <w:t>2</w:t>
      </w:r>
      <w:r>
        <w:rPr>
          <w:rFonts w:hint="eastAsia" w:ascii="黑体" w:hAnsi="黑体" w:eastAsia="黑体" w:cs="黑体"/>
          <w:color w:val="auto"/>
          <w:sz w:val="21"/>
          <w:szCs w:val="21"/>
          <w:highlight w:val="none"/>
        </w:rPr>
        <w:t>.1资料提交</w:t>
      </w:r>
    </w:p>
    <w:p w14:paraId="46DDCC2D">
      <w:pPr>
        <w:pageBreakBefore w:val="0"/>
        <w:kinsoku/>
        <w:wordWrap/>
        <w:overflowPunct/>
        <w:topLinePunct w:val="0"/>
        <w:bidi w:val="0"/>
        <w:adjustRightInd/>
        <w:snapToGrid/>
        <w:spacing w:line="360" w:lineRule="auto"/>
        <w:ind w:firstLine="420" w:firstLineChars="200"/>
        <w:textAlignment w:val="auto"/>
        <w:rPr>
          <w:rFonts w:ascii="宋体" w:hAnsi="宋体"/>
          <w:bCs/>
          <w:color w:val="auto"/>
          <w:sz w:val="21"/>
          <w:szCs w:val="21"/>
          <w:highlight w:val="none"/>
        </w:rPr>
      </w:pPr>
      <w:r>
        <w:rPr>
          <w:rFonts w:hint="eastAsia" w:ascii="宋体" w:hAnsi="宋体"/>
          <w:bCs/>
          <w:color w:val="auto"/>
          <w:sz w:val="21"/>
          <w:szCs w:val="21"/>
          <w:highlight w:val="none"/>
        </w:rPr>
        <w:t>设备进场时供货商应提交下列资料，包括但不限于：</w:t>
      </w:r>
    </w:p>
    <w:p w14:paraId="1E7F46BB">
      <w:pPr>
        <w:pageBreakBefore w:val="0"/>
        <w:widowControl/>
        <w:numPr>
          <w:ilvl w:val="0"/>
          <w:numId w:val="7"/>
        </w:numPr>
        <w:kinsoku/>
        <w:wordWrap/>
        <w:overflowPunct/>
        <w:topLinePunct w:val="0"/>
        <w:autoSpaceDN w:val="0"/>
        <w:bidi w:val="0"/>
        <w:adjustRightInd/>
        <w:snapToGrid/>
        <w:spacing w:line="360" w:lineRule="auto"/>
        <w:ind w:firstLine="420" w:firstLineChars="200"/>
        <w:textAlignment w:val="auto"/>
        <w:rPr>
          <w:color w:val="auto"/>
          <w:kern w:val="0"/>
          <w:sz w:val="21"/>
          <w:szCs w:val="21"/>
          <w:highlight w:val="none"/>
        </w:rPr>
      </w:pPr>
      <w:r>
        <w:rPr>
          <w:rFonts w:hint="eastAsia"/>
          <w:color w:val="auto"/>
          <w:kern w:val="0"/>
          <w:sz w:val="21"/>
          <w:szCs w:val="21"/>
          <w:highlight w:val="none"/>
        </w:rPr>
        <w:t>水泵性能曲线图；</w:t>
      </w:r>
      <w:r>
        <w:rPr>
          <w:color w:val="auto"/>
          <w:kern w:val="0"/>
          <w:sz w:val="21"/>
          <w:szCs w:val="21"/>
          <w:highlight w:val="none"/>
        </w:rPr>
        <w:t xml:space="preserve"> </w:t>
      </w:r>
    </w:p>
    <w:p w14:paraId="4E23BD38">
      <w:pPr>
        <w:pageBreakBefore w:val="0"/>
        <w:widowControl/>
        <w:numPr>
          <w:ilvl w:val="0"/>
          <w:numId w:val="7"/>
        </w:numPr>
        <w:kinsoku/>
        <w:wordWrap/>
        <w:overflowPunct/>
        <w:topLinePunct w:val="0"/>
        <w:autoSpaceDN w:val="0"/>
        <w:bidi w:val="0"/>
        <w:adjustRightInd/>
        <w:snapToGrid/>
        <w:spacing w:line="360" w:lineRule="auto"/>
        <w:ind w:firstLine="420" w:firstLineChars="200"/>
        <w:textAlignment w:val="auto"/>
        <w:rPr>
          <w:color w:val="auto"/>
          <w:kern w:val="0"/>
          <w:sz w:val="21"/>
          <w:szCs w:val="21"/>
          <w:highlight w:val="none"/>
        </w:rPr>
      </w:pPr>
      <w:r>
        <w:rPr>
          <w:rFonts w:hint="eastAsia"/>
          <w:color w:val="auto"/>
          <w:kern w:val="0"/>
          <w:sz w:val="21"/>
          <w:szCs w:val="21"/>
          <w:highlight w:val="none"/>
        </w:rPr>
        <w:t>水泵安装</w:t>
      </w:r>
      <w:r>
        <w:rPr>
          <w:color w:val="auto"/>
          <w:kern w:val="0"/>
          <w:sz w:val="21"/>
          <w:szCs w:val="21"/>
          <w:highlight w:val="none"/>
        </w:rPr>
        <w:t>尺寸图；</w:t>
      </w:r>
    </w:p>
    <w:p w14:paraId="2541A2BA">
      <w:pPr>
        <w:pageBreakBefore w:val="0"/>
        <w:numPr>
          <w:ilvl w:val="0"/>
          <w:numId w:val="7"/>
        </w:numPr>
        <w:kinsoku/>
        <w:wordWrap/>
        <w:overflowPunct/>
        <w:topLinePunct w:val="0"/>
        <w:bidi w:val="0"/>
        <w:adjustRightInd/>
        <w:snapToGrid/>
        <w:spacing w:line="360" w:lineRule="auto"/>
        <w:ind w:firstLine="420" w:firstLineChars="200"/>
        <w:textAlignment w:val="auto"/>
        <w:rPr>
          <w:color w:val="auto"/>
          <w:kern w:val="0"/>
          <w:sz w:val="21"/>
          <w:szCs w:val="21"/>
          <w:highlight w:val="none"/>
        </w:rPr>
      </w:pPr>
      <w:r>
        <w:rPr>
          <w:color w:val="auto"/>
          <w:kern w:val="0"/>
          <w:sz w:val="21"/>
          <w:szCs w:val="21"/>
          <w:highlight w:val="none"/>
        </w:rPr>
        <w:t>操作、使用说明书和维修手册</w:t>
      </w:r>
      <w:r>
        <w:rPr>
          <w:rFonts w:hint="eastAsia"/>
          <w:color w:val="auto"/>
          <w:kern w:val="0"/>
          <w:sz w:val="21"/>
          <w:szCs w:val="21"/>
          <w:highlight w:val="none"/>
        </w:rPr>
        <w:t>；</w:t>
      </w:r>
    </w:p>
    <w:p w14:paraId="1406E96D">
      <w:pPr>
        <w:pageBreakBefore w:val="0"/>
        <w:widowControl/>
        <w:numPr>
          <w:ilvl w:val="0"/>
          <w:numId w:val="7"/>
        </w:numPr>
        <w:kinsoku/>
        <w:wordWrap/>
        <w:overflowPunct/>
        <w:topLinePunct w:val="0"/>
        <w:autoSpaceDN w:val="0"/>
        <w:bidi w:val="0"/>
        <w:adjustRightInd/>
        <w:snapToGrid/>
        <w:spacing w:line="360" w:lineRule="auto"/>
        <w:ind w:firstLine="420" w:firstLineChars="200"/>
        <w:textAlignment w:val="auto"/>
        <w:rPr>
          <w:color w:val="auto"/>
          <w:kern w:val="0"/>
          <w:sz w:val="21"/>
          <w:szCs w:val="21"/>
          <w:highlight w:val="none"/>
        </w:rPr>
      </w:pPr>
      <w:r>
        <w:rPr>
          <w:rFonts w:ascii="宋体" w:hAnsi="宋体"/>
          <w:color w:val="auto"/>
          <w:kern w:val="0"/>
          <w:sz w:val="21"/>
          <w:szCs w:val="21"/>
          <w:highlight w:val="none"/>
        </w:rPr>
        <w:t>原产地证明、船运单据、商检证明等</w:t>
      </w:r>
      <w:r>
        <w:rPr>
          <w:rFonts w:hint="eastAsia" w:ascii="宋体" w:hAnsi="宋体"/>
          <w:color w:val="auto"/>
          <w:kern w:val="0"/>
          <w:sz w:val="21"/>
          <w:szCs w:val="21"/>
          <w:highlight w:val="none"/>
        </w:rPr>
        <w:t>；</w:t>
      </w:r>
    </w:p>
    <w:p w14:paraId="120B7621">
      <w:pPr>
        <w:pageBreakBefore w:val="0"/>
        <w:widowControl/>
        <w:numPr>
          <w:ilvl w:val="0"/>
          <w:numId w:val="7"/>
        </w:numPr>
        <w:kinsoku/>
        <w:wordWrap/>
        <w:overflowPunct/>
        <w:topLinePunct w:val="0"/>
        <w:autoSpaceDN w:val="0"/>
        <w:bidi w:val="0"/>
        <w:adjustRightInd/>
        <w:snapToGrid/>
        <w:spacing w:line="360" w:lineRule="auto"/>
        <w:ind w:firstLine="420" w:firstLineChars="200"/>
        <w:textAlignment w:val="auto"/>
        <w:rPr>
          <w:color w:val="auto"/>
          <w:kern w:val="0"/>
          <w:sz w:val="21"/>
          <w:szCs w:val="21"/>
          <w:highlight w:val="none"/>
        </w:rPr>
      </w:pPr>
      <w:r>
        <w:rPr>
          <w:color w:val="auto"/>
          <w:kern w:val="0"/>
          <w:sz w:val="21"/>
          <w:szCs w:val="21"/>
          <w:highlight w:val="none"/>
        </w:rPr>
        <w:t>配套电机的内部接线图及控制箱的控制原理图，端子板接线图，控制箱布置图及外形安装尺寸图，电缆清册，电机的额定功率、电压、电流（包括启动电流）、效率、功率因数</w:t>
      </w:r>
      <w:r>
        <w:rPr>
          <w:rFonts w:hint="eastAsia"/>
          <w:color w:val="auto"/>
          <w:kern w:val="0"/>
          <w:sz w:val="21"/>
          <w:szCs w:val="21"/>
          <w:highlight w:val="none"/>
        </w:rPr>
        <w:t>、变频器、软启动器接线图、传送中控信号</w:t>
      </w:r>
      <w:r>
        <w:rPr>
          <w:color w:val="auto"/>
          <w:kern w:val="0"/>
          <w:sz w:val="21"/>
          <w:szCs w:val="21"/>
          <w:highlight w:val="none"/>
        </w:rPr>
        <w:t>等电气参数</w:t>
      </w:r>
      <w:r>
        <w:rPr>
          <w:rFonts w:hint="eastAsia"/>
          <w:color w:val="auto"/>
          <w:kern w:val="0"/>
          <w:sz w:val="21"/>
          <w:szCs w:val="21"/>
          <w:highlight w:val="none"/>
        </w:rPr>
        <w:t>。</w:t>
      </w:r>
    </w:p>
    <w:p w14:paraId="4008A6BC">
      <w:pPr>
        <w:keepNext/>
        <w:keepLines/>
        <w:pageBreakBefore w:val="0"/>
        <w:numPr>
          <w:ilvl w:val="2"/>
          <w:numId w:val="0"/>
        </w:numPr>
        <w:tabs>
          <w:tab w:val="left" w:pos="720"/>
        </w:tabs>
        <w:kinsoku/>
        <w:wordWrap/>
        <w:overflowPunct/>
        <w:topLinePunct w:val="0"/>
        <w:bidi w:val="0"/>
        <w:adjustRightInd/>
        <w:snapToGrid/>
        <w:spacing w:before="156" w:after="156" w:afterLines="50" w:line="360" w:lineRule="auto"/>
        <w:textAlignment w:val="auto"/>
        <w:outlineLvl w:val="5"/>
        <w:rPr>
          <w:rFonts w:ascii="黑体" w:hAnsi="黑体" w:eastAsia="黑体" w:cs="黑体"/>
          <w:color w:val="auto"/>
          <w:sz w:val="21"/>
          <w:szCs w:val="21"/>
          <w:highlight w:val="none"/>
        </w:rPr>
      </w:pPr>
      <w:r>
        <w:rPr>
          <w:rFonts w:hint="eastAsia" w:ascii="黑体" w:hAnsi="黑体" w:eastAsia="黑体" w:cs="黑体"/>
          <w:color w:val="auto"/>
          <w:sz w:val="21"/>
          <w:szCs w:val="21"/>
          <w:highlight w:val="none"/>
          <w:lang w:val="en-US" w:eastAsia="zh-CN"/>
        </w:rPr>
        <w:t>2</w:t>
      </w:r>
      <w:r>
        <w:rPr>
          <w:rFonts w:hint="eastAsia" w:ascii="黑体" w:hAnsi="黑体" w:eastAsia="黑体" w:cs="黑体"/>
          <w:color w:val="auto"/>
          <w:sz w:val="21"/>
          <w:szCs w:val="21"/>
          <w:highlight w:val="none"/>
        </w:rPr>
        <w:t>.2离心式潜污泵结构及配置要求</w:t>
      </w:r>
    </w:p>
    <w:p w14:paraId="55F4BEB5">
      <w:pPr>
        <w:pageBreakBefore w:val="0"/>
        <w:kinsoku/>
        <w:wordWrap/>
        <w:overflowPunct/>
        <w:topLinePunct w:val="0"/>
        <w:bidi w:val="0"/>
        <w:adjustRightInd/>
        <w:snapToGrid/>
        <w:spacing w:line="360" w:lineRule="auto"/>
        <w:ind w:firstLine="410" w:firstLineChars="200"/>
        <w:textAlignment w:val="auto"/>
        <w:rPr>
          <w:rFonts w:ascii="宋体" w:hAnsi="宋体" w:cs="宋体"/>
          <w:b/>
          <w:color w:val="auto"/>
          <w:spacing w:val="-3"/>
          <w:sz w:val="21"/>
          <w:szCs w:val="21"/>
          <w:highlight w:val="none"/>
          <w:lang w:val="en-GB"/>
        </w:rPr>
      </w:pPr>
      <w:r>
        <w:rPr>
          <w:rFonts w:hint="eastAsia" w:ascii="宋体" w:hAnsi="宋体" w:cs="宋体"/>
          <w:b/>
          <w:color w:val="auto"/>
          <w:spacing w:val="-3"/>
          <w:sz w:val="21"/>
          <w:szCs w:val="21"/>
          <w:highlight w:val="none"/>
          <w:lang w:val="en-GB"/>
        </w:rPr>
        <w:t>（1）国际标准认证</w:t>
      </w:r>
    </w:p>
    <w:p w14:paraId="0A65065E">
      <w:pPr>
        <w:pageBreakBefore w:val="0"/>
        <w:kinsoku/>
        <w:wordWrap/>
        <w:overflowPunct/>
        <w:topLinePunct w:val="0"/>
        <w:bidi w:val="0"/>
        <w:adjustRightInd/>
        <w:snapToGri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每台水泵都需要按照国家和国际标准包括但不限于IEC34-1, HI, CSA和ISO 9906测试和认证。</w:t>
      </w:r>
    </w:p>
    <w:p w14:paraId="2BA781C4">
      <w:pPr>
        <w:pageBreakBefore w:val="0"/>
        <w:kinsoku/>
        <w:wordWrap/>
        <w:overflowPunct/>
        <w:topLinePunct w:val="0"/>
        <w:bidi w:val="0"/>
        <w:adjustRightInd/>
        <w:snapToGrid/>
        <w:spacing w:line="360" w:lineRule="auto"/>
        <w:ind w:firstLine="410" w:firstLineChars="200"/>
        <w:textAlignment w:val="auto"/>
        <w:rPr>
          <w:rFonts w:ascii="宋体" w:hAnsi="宋体" w:cs="宋体"/>
          <w:b/>
          <w:color w:val="auto"/>
          <w:spacing w:val="-3"/>
          <w:sz w:val="21"/>
          <w:szCs w:val="21"/>
          <w:highlight w:val="none"/>
          <w:lang w:val="en-GB"/>
        </w:rPr>
      </w:pPr>
      <w:r>
        <w:rPr>
          <w:rFonts w:hint="eastAsia" w:ascii="宋体" w:hAnsi="宋体" w:cs="宋体"/>
          <w:b/>
          <w:color w:val="auto"/>
          <w:spacing w:val="-3"/>
          <w:sz w:val="21"/>
          <w:szCs w:val="21"/>
          <w:highlight w:val="none"/>
          <w:lang w:val="en-GB"/>
        </w:rPr>
        <w:t>（2）性能保证</w:t>
      </w:r>
    </w:p>
    <w:p w14:paraId="39C7CF2F">
      <w:pPr>
        <w:pageBreakBefore w:val="0"/>
        <w:kinsoku/>
        <w:wordWrap/>
        <w:overflowPunct/>
        <w:topLinePunct w:val="0"/>
        <w:bidi w:val="0"/>
        <w:adjustRightInd/>
        <w:snapToGri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工况点的保证应该按照ISO9906标准的规定。不可以按照已经淘汰的ISO 2548或者ISO 3555标准。</w:t>
      </w:r>
    </w:p>
    <w:p w14:paraId="17C8642F">
      <w:pPr>
        <w:pageBreakBefore w:val="0"/>
        <w:kinsoku/>
        <w:wordWrap/>
        <w:overflowPunct/>
        <w:topLinePunct w:val="0"/>
        <w:bidi w:val="0"/>
        <w:adjustRightInd/>
        <w:snapToGri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对于直连水泵，总效率（水力效率×电机效率）必须保证满足。（水力效率只能在不采购电机时采用）</w:t>
      </w:r>
    </w:p>
    <w:p w14:paraId="6D6738B5">
      <w:pPr>
        <w:pageBreakBefore w:val="0"/>
        <w:widowControl/>
        <w:kinsoku/>
        <w:wordWrap/>
        <w:overflowPunct/>
        <w:topLinePunct w:val="0"/>
        <w:autoSpaceDE w:val="0"/>
        <w:autoSpaceDN w:val="0"/>
        <w:bidi w:val="0"/>
        <w:adjustRightInd/>
        <w:snapToGrid/>
        <w:spacing w:line="360" w:lineRule="auto"/>
        <w:ind w:firstLine="422" w:firstLineChars="200"/>
        <w:jc w:val="left"/>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（3）泵的设计</w:t>
      </w:r>
    </w:p>
    <w:p w14:paraId="5E1184EA">
      <w:pPr>
        <w:pageBreakBefore w:val="0"/>
        <w:kinsoku/>
        <w:wordWrap/>
        <w:overflowPunct/>
        <w:topLinePunct w:val="0"/>
        <w:bidi w:val="0"/>
        <w:adjustRightInd/>
        <w:snapToGri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固定耦合式安装水泵应能自动稳固地与排水连接座联接，并且水泵应能在导杆引导下从泵坑顶部到排水连接座之间自由滑动，水泵应自带冷却夹套及安装基座。</w:t>
      </w:r>
    </w:p>
    <w:p w14:paraId="77ADABD6">
      <w:pPr>
        <w:pageBreakBefore w:val="0"/>
        <w:kinsoku/>
        <w:wordWrap/>
        <w:overflowPunct/>
        <w:topLinePunct w:val="0"/>
        <w:bidi w:val="0"/>
        <w:adjustRightInd/>
        <w:snapToGri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泵的单元与排水连接座的密封应完全是金属与金属的接触，接受O型环或垫圈密封，泵/电机的全部重量由泵的排水弯管承担，泵/电机的任何部分不能直接与泵坑底板接触或放在泵坑底板的支座上。</w:t>
      </w:r>
    </w:p>
    <w:p w14:paraId="75ECD9B0">
      <w:pPr>
        <w:pageBreakBefore w:val="0"/>
        <w:kinsoku/>
        <w:wordWrap/>
        <w:overflowPunct/>
        <w:topLinePunct w:val="0"/>
        <w:bidi w:val="0"/>
        <w:adjustRightInd/>
        <w:snapToGri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管道连接式安装水泵应配备标准的干式安装底座，底座应通过化学螺栓与混凝土底面进行牢固连接,泵的所有重量完全由底座支撑。泵的进出口应配备标准法兰以与现场管道进行连接,法兰连接面可以O型环或垫圈等形式进行密封。</w:t>
      </w:r>
    </w:p>
    <w:p w14:paraId="597B38DE">
      <w:pPr>
        <w:pageBreakBefore w:val="0"/>
        <w:widowControl/>
        <w:kinsoku/>
        <w:wordWrap/>
        <w:overflowPunct/>
        <w:topLinePunct w:val="0"/>
        <w:autoSpaceDE w:val="0"/>
        <w:autoSpaceDN w:val="0"/>
        <w:bidi w:val="0"/>
        <w:adjustRightInd/>
        <w:snapToGrid/>
        <w:spacing w:line="360" w:lineRule="auto"/>
        <w:ind w:firstLine="422" w:firstLineChars="200"/>
        <w:jc w:val="left"/>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（4）泵的构造</w:t>
      </w:r>
    </w:p>
    <w:p w14:paraId="2BE93AF0">
      <w:pPr>
        <w:pageBreakBefore w:val="0"/>
        <w:kinsoku/>
        <w:wordWrap/>
        <w:overflowPunct/>
        <w:topLinePunct w:val="0"/>
        <w:bidi w:val="0"/>
        <w:adjustRightInd/>
        <w:snapToGri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泵的过流部件材质应是综合废水工艺段不低于316L，浓水工艺段不低于双相钢，其表面须平滑、无砂眼或其它铸造缺陷，所有外露的螺栓螺母均为 304 不锈钢或更好。除不锈钢外，所有与泵送介质接触的金属表面应由水基底漆和两组涂层进行保护。</w:t>
      </w:r>
    </w:p>
    <w:p w14:paraId="65CEA7B1">
      <w:pPr>
        <w:pageBreakBefore w:val="0"/>
        <w:kinsoku/>
        <w:wordWrap/>
        <w:overflowPunct/>
        <w:topLinePunct w:val="0"/>
        <w:bidi w:val="0"/>
        <w:adjustRightInd/>
        <w:snapToGri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机械表面的密封是金属与金属接触，需要防水密封，泵/电机单元接合面应是机械加工的并嵌入腈或氟化橡胶O形环。</w:t>
      </w:r>
    </w:p>
    <w:p w14:paraId="2C18B7D0">
      <w:pPr>
        <w:pageBreakBefore w:val="0"/>
        <w:kinsoku/>
        <w:wordWrap/>
        <w:overflowPunct/>
        <w:topLinePunct w:val="0"/>
        <w:bidi w:val="0"/>
        <w:adjustRightInd/>
        <w:snapToGri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不能使用需要一定的扭力才能达到压紧效果，并且横截面矩形的橡胶、纸质或化学合成物的垫片。不能使用二次密封复合物，如椭圆形密封环、羊毛或其他装置。</w:t>
      </w:r>
    </w:p>
    <w:p w14:paraId="6D024C26">
      <w:pPr>
        <w:pageBreakBefore w:val="0"/>
        <w:widowControl/>
        <w:kinsoku/>
        <w:wordWrap/>
        <w:overflowPunct/>
        <w:topLinePunct w:val="0"/>
        <w:autoSpaceDE w:val="0"/>
        <w:autoSpaceDN w:val="0"/>
        <w:bidi w:val="0"/>
        <w:adjustRightInd/>
        <w:snapToGrid/>
        <w:spacing w:line="360" w:lineRule="auto"/>
        <w:ind w:firstLine="422" w:firstLineChars="200"/>
        <w:jc w:val="left"/>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（5）蜗壳</w:t>
      </w:r>
    </w:p>
    <w:p w14:paraId="59CCB8AA">
      <w:pPr>
        <w:pageBreakBefore w:val="0"/>
        <w:kinsoku/>
        <w:wordWrap/>
        <w:overflowPunct/>
        <w:topLinePunct w:val="0"/>
        <w:bidi w:val="0"/>
        <w:adjustRightInd/>
        <w:snapToGri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泵的蜗壳应是综合废水工艺段不低于316L，浓水工艺段不低于双相钢，为偏心设计，有足够大的平滑流道以通过进入叶轮的颗粒。</w:t>
      </w:r>
    </w:p>
    <w:p w14:paraId="7BA83CC0">
      <w:pPr>
        <w:pageBreakBefore w:val="0"/>
        <w:widowControl/>
        <w:kinsoku/>
        <w:wordWrap/>
        <w:overflowPunct/>
        <w:topLinePunct w:val="0"/>
        <w:autoSpaceDE w:val="0"/>
        <w:autoSpaceDN w:val="0"/>
        <w:bidi w:val="0"/>
        <w:adjustRightInd/>
        <w:snapToGrid/>
        <w:spacing w:line="360" w:lineRule="auto"/>
        <w:ind w:firstLine="422" w:firstLineChars="200"/>
        <w:jc w:val="left"/>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（6）叶轮</w:t>
      </w:r>
    </w:p>
    <w:p w14:paraId="5C637094">
      <w:pPr>
        <w:pageBreakBefore w:val="0"/>
        <w:kinsoku/>
        <w:wordWrap/>
        <w:overflowPunct/>
        <w:topLinePunct w:val="0"/>
        <w:bidi w:val="0"/>
        <w:adjustRightInd/>
        <w:snapToGrid/>
        <w:spacing w:line="360" w:lineRule="auto"/>
        <w:ind w:firstLine="420" w:firstLineChars="200"/>
        <w:textAlignment w:val="auto"/>
        <w:rPr>
          <w:rFonts w:ascii="宋体" w:hAnsi="宋体" w:cs="仿宋体"/>
          <w:color w:val="auto"/>
          <w:sz w:val="21"/>
          <w:szCs w:val="21"/>
          <w:highlight w:val="none"/>
        </w:rPr>
      </w:pPr>
      <w:r>
        <w:rPr>
          <w:rFonts w:hint="eastAsia" w:ascii="宋体" w:hAnsi="宋体" w:cs="宋体"/>
          <w:color w:val="auto"/>
          <w:sz w:val="21"/>
          <w:szCs w:val="21"/>
          <w:highlight w:val="none"/>
        </w:rPr>
        <w:t>泵的叶轮应是综合废水工艺段不低于316L，浓水工艺段不低于双相钢，要求水力平衡、、无阻塞流道设计，其长流道无剧烈拐角。叶轮应能处理固体、纤维材料、污泥和污水中其他的杂物。若有需要，制造厂商应提供惯性扭矩计算书，叶轮应键入泵轴，靠一个膨胀环卡住，叶轮应喷涂醇酸聚酯树脂或环氧树脂涂层。</w:t>
      </w:r>
      <w:r>
        <w:rPr>
          <w:rFonts w:hint="eastAsia" w:ascii="宋体" w:hAnsi="宋体" w:cs="宋体"/>
          <w:b/>
          <w:color w:val="auto"/>
          <w:sz w:val="21"/>
          <w:szCs w:val="21"/>
          <w:highlight w:val="none"/>
        </w:rPr>
        <w:t>砂泵叶轮应选用相对更优更耐磨材质叶轮，投标人应明确标注砂泵叶轮使用材质。</w:t>
      </w:r>
      <w:r>
        <w:rPr>
          <w:rFonts w:hint="eastAsia" w:ascii="宋体" w:hAnsi="宋体" w:cs="宋体"/>
          <w:color w:val="auto"/>
          <w:sz w:val="21"/>
          <w:szCs w:val="21"/>
          <w:highlight w:val="none"/>
        </w:rPr>
        <w:t xml:space="preserve"> </w:t>
      </w:r>
    </w:p>
    <w:p w14:paraId="4D37B0B1">
      <w:pPr>
        <w:pageBreakBefore w:val="0"/>
        <w:widowControl/>
        <w:kinsoku/>
        <w:wordWrap/>
        <w:overflowPunct/>
        <w:topLinePunct w:val="0"/>
        <w:autoSpaceDE w:val="0"/>
        <w:autoSpaceDN w:val="0"/>
        <w:bidi w:val="0"/>
        <w:adjustRightInd/>
        <w:snapToGrid/>
        <w:spacing w:line="360" w:lineRule="auto"/>
        <w:ind w:firstLine="422" w:firstLineChars="200"/>
        <w:jc w:val="left"/>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（7）泵轴</w:t>
      </w:r>
    </w:p>
    <w:p w14:paraId="252D5827">
      <w:pPr>
        <w:pageBreakBefore w:val="0"/>
        <w:kinsoku/>
        <w:wordWrap/>
        <w:overflowPunct/>
        <w:topLinePunct w:val="0"/>
        <w:bidi w:val="0"/>
        <w:adjustRightInd/>
        <w:snapToGri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泵和电机的轴应是连续无间断的轴，泵轴须是电机轴的延伸。耦连不能被接受。泵轴应是不锈钢AISI 420或以上材质，并完全与泵送液体隔离。</w:t>
      </w:r>
    </w:p>
    <w:p w14:paraId="440E2790">
      <w:pPr>
        <w:pageBreakBefore w:val="0"/>
        <w:widowControl/>
        <w:kinsoku/>
        <w:wordWrap/>
        <w:overflowPunct/>
        <w:topLinePunct w:val="0"/>
        <w:autoSpaceDE w:val="0"/>
        <w:autoSpaceDN w:val="0"/>
        <w:bidi w:val="0"/>
        <w:adjustRightInd/>
        <w:snapToGrid/>
        <w:spacing w:line="360" w:lineRule="auto"/>
        <w:ind w:firstLine="422" w:firstLineChars="200"/>
        <w:jc w:val="left"/>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（8）机械密封</w:t>
      </w:r>
    </w:p>
    <w:p w14:paraId="5B3024F1">
      <w:pPr>
        <w:pageBreakBefore w:val="0"/>
        <w:kinsoku/>
        <w:wordWrap/>
        <w:overflowPunct/>
        <w:topLinePunct w:val="0"/>
        <w:bidi w:val="0"/>
        <w:adjustRightInd/>
        <w:snapToGri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机械密封的设计能有效地将水力部分与电机部分在泵送介质里隔离开来。</w:t>
      </w:r>
    </w:p>
    <w:p w14:paraId="711C6271">
      <w:pPr>
        <w:pageBreakBefore w:val="0"/>
        <w:kinsoku/>
        <w:wordWrap/>
        <w:overflowPunct/>
        <w:topLinePunct w:val="0"/>
        <w:bidi w:val="0"/>
        <w:adjustRightInd/>
        <w:snapToGri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 xml:space="preserve">机械密封系统为一个带有密封泄漏腔（密封室内填充冷却液）的双重密封系统。密封系统由带有一个静环和一个旋转密封的动环的外密封与内密封组成。机械密封材质为耐腐蚀烧结碳化钨或碳化硅。 </w:t>
      </w:r>
    </w:p>
    <w:p w14:paraId="7A565984">
      <w:pPr>
        <w:pageBreakBefore w:val="0"/>
        <w:kinsoku/>
        <w:wordWrap/>
        <w:overflowPunct/>
        <w:topLinePunct w:val="0"/>
        <w:bidi w:val="0"/>
        <w:adjustRightInd/>
        <w:snapToGri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密封单元的设计能控制各个密封环――冷却液/空气或者冷却液/介质之间最小程度的泄漏。这一泄漏控制可以形成一个水力静态膜到对机械密封起到润滑作用。</w:t>
      </w:r>
    </w:p>
    <w:p w14:paraId="48AE54AA">
      <w:pPr>
        <w:pageBreakBefore w:val="0"/>
        <w:kinsoku/>
        <w:wordWrap/>
        <w:overflowPunct/>
        <w:topLinePunct w:val="0"/>
        <w:bidi w:val="0"/>
        <w:adjustRightInd/>
        <w:snapToGri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泄漏会经由外密封进入到充满冷却液的密封室。任何经由内密封的泄漏会直接进入位于定子室与主轴承下方的检查室。在检查室中安装一个泄漏传感器用以监控液位水平，从而防止泄漏对电机造成威胁。检查室在设计上留有足够空间。</w:t>
      </w:r>
    </w:p>
    <w:p w14:paraId="6C87605C">
      <w:pPr>
        <w:pageBreakBefore w:val="0"/>
        <w:kinsoku/>
        <w:wordWrap/>
        <w:overflowPunct/>
        <w:topLinePunct w:val="0"/>
        <w:bidi w:val="0"/>
        <w:adjustRightInd/>
        <w:snapToGrid/>
        <w:spacing w:line="360" w:lineRule="auto"/>
        <w:ind w:firstLine="410" w:firstLineChars="200"/>
        <w:textAlignment w:val="auto"/>
        <w:rPr>
          <w:rFonts w:ascii="宋体" w:hAnsi="宋体" w:cs="宋体"/>
          <w:b/>
          <w:color w:val="auto"/>
          <w:spacing w:val="-3"/>
          <w:sz w:val="21"/>
          <w:szCs w:val="21"/>
          <w:highlight w:val="none"/>
          <w:lang w:val="en-GB"/>
        </w:rPr>
      </w:pPr>
      <w:r>
        <w:rPr>
          <w:rFonts w:hint="eastAsia" w:ascii="宋体" w:hAnsi="宋体" w:cs="宋体"/>
          <w:b/>
          <w:color w:val="auto"/>
          <w:spacing w:val="-3"/>
          <w:sz w:val="21"/>
          <w:szCs w:val="21"/>
          <w:highlight w:val="none"/>
          <w:lang w:val="en-GB"/>
        </w:rPr>
        <w:t>（9）润滑油</w:t>
      </w:r>
    </w:p>
    <w:p w14:paraId="256C555C">
      <w:pPr>
        <w:pageBreakBefore w:val="0"/>
        <w:kinsoku/>
        <w:wordWrap/>
        <w:overflowPunct/>
        <w:topLinePunct w:val="0"/>
        <w:bidi w:val="0"/>
        <w:adjustRightInd/>
        <w:snapToGri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油室需注入符合FDA172.878卫生标准的白石蜡润滑油，不含芳香烃及按FDA172.878卫生标准处理。</w:t>
      </w:r>
    </w:p>
    <w:p w14:paraId="3B767829">
      <w:pPr>
        <w:pageBreakBefore w:val="0"/>
        <w:widowControl/>
        <w:kinsoku/>
        <w:wordWrap/>
        <w:overflowPunct/>
        <w:topLinePunct w:val="0"/>
        <w:autoSpaceDE w:val="0"/>
        <w:autoSpaceDN w:val="0"/>
        <w:bidi w:val="0"/>
        <w:adjustRightInd/>
        <w:snapToGrid/>
        <w:spacing w:line="360" w:lineRule="auto"/>
        <w:ind w:firstLine="422" w:firstLineChars="200"/>
        <w:jc w:val="left"/>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（10）轴承</w:t>
      </w:r>
    </w:p>
    <w:p w14:paraId="286FE292">
      <w:pPr>
        <w:pageBreakBefore w:val="0"/>
        <w:kinsoku/>
        <w:wordWrap/>
        <w:overflowPunct/>
        <w:topLinePunct w:val="0"/>
        <w:bidi w:val="0"/>
        <w:adjustRightInd/>
        <w:snapToGri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泵轴应在油脂润滑的轴承上转动。上轴承应当是一个单滚柱轴承用于承担径向力。下轴承至少包括一个滚柱轴承承担径向力及一个角触球轴承来承担轴向力。</w:t>
      </w:r>
    </w:p>
    <w:p w14:paraId="67CEE80B">
      <w:pPr>
        <w:pageBreakBefore w:val="0"/>
        <w:kinsoku/>
        <w:wordWrap/>
        <w:overflowPunct/>
        <w:topLinePunct w:val="0"/>
        <w:bidi w:val="0"/>
        <w:adjustRightInd/>
        <w:snapToGri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额定功率大于60kW水泵上下轴承应包括一个独立的温度传感器 热敏开关以监控轴承温度。如果温度过高，传感器应实施报警并停机。</w:t>
      </w:r>
    </w:p>
    <w:p w14:paraId="0030CA9E">
      <w:pPr>
        <w:pageBreakBefore w:val="0"/>
        <w:kinsoku/>
        <w:wordWrap/>
        <w:overflowPunct/>
        <w:topLinePunct w:val="0"/>
        <w:bidi w:val="0"/>
        <w:adjustRightInd/>
        <w:snapToGri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轴承在0.5Q</w:t>
      </w:r>
      <w:r>
        <w:rPr>
          <w:rFonts w:hint="eastAsia" w:ascii="宋体" w:hAnsi="宋体" w:cs="宋体"/>
          <w:color w:val="auto"/>
          <w:sz w:val="21"/>
          <w:szCs w:val="21"/>
          <w:highlight w:val="none"/>
          <w:vertAlign w:val="subscript"/>
        </w:rPr>
        <w:t>n</w:t>
      </w:r>
      <w:r>
        <w:rPr>
          <w:rFonts w:hint="eastAsia" w:ascii="宋体" w:hAnsi="宋体" w:cs="宋体"/>
          <w:color w:val="auto"/>
          <w:sz w:val="21"/>
          <w:szCs w:val="21"/>
          <w:highlight w:val="none"/>
        </w:rPr>
        <w:t>&lt;Q</w:t>
      </w:r>
      <w:r>
        <w:rPr>
          <w:rFonts w:hint="eastAsia" w:ascii="宋体" w:hAnsi="宋体" w:cs="宋体"/>
          <w:color w:val="auto"/>
          <w:sz w:val="21"/>
          <w:szCs w:val="21"/>
          <w:highlight w:val="none"/>
          <w:vertAlign w:val="subscript"/>
        </w:rPr>
        <w:t>n</w:t>
      </w:r>
      <w:r>
        <w:rPr>
          <w:rFonts w:hint="eastAsia" w:ascii="宋体" w:hAnsi="宋体" w:cs="宋体"/>
          <w:color w:val="auto"/>
          <w:sz w:val="21"/>
          <w:szCs w:val="21"/>
          <w:highlight w:val="none"/>
        </w:rPr>
        <w:t>&lt;1.25Q</w:t>
      </w:r>
      <w:r>
        <w:rPr>
          <w:rFonts w:hint="eastAsia" w:ascii="宋体" w:hAnsi="宋体" w:cs="宋体"/>
          <w:color w:val="auto"/>
          <w:sz w:val="21"/>
          <w:szCs w:val="21"/>
          <w:highlight w:val="none"/>
          <w:vertAlign w:val="subscript"/>
        </w:rPr>
        <w:t>n</w:t>
      </w:r>
      <w:r>
        <w:rPr>
          <w:rFonts w:hint="eastAsia" w:ascii="宋体" w:hAnsi="宋体" w:cs="宋体"/>
          <w:color w:val="auto"/>
          <w:sz w:val="21"/>
          <w:szCs w:val="21"/>
          <w:highlight w:val="none"/>
        </w:rPr>
        <w:t>范围内运行时（Q</w:t>
      </w:r>
      <w:r>
        <w:rPr>
          <w:rFonts w:hint="eastAsia" w:ascii="宋体" w:hAnsi="宋体" w:cs="宋体"/>
          <w:color w:val="auto"/>
          <w:sz w:val="21"/>
          <w:szCs w:val="21"/>
          <w:highlight w:val="none"/>
          <w:vertAlign w:val="subscript"/>
        </w:rPr>
        <w:t>n</w:t>
      </w:r>
      <w:r>
        <w:rPr>
          <w:rFonts w:hint="eastAsia" w:ascii="宋体" w:hAnsi="宋体" w:cs="宋体"/>
          <w:color w:val="auto"/>
          <w:sz w:val="21"/>
          <w:szCs w:val="21"/>
          <w:highlight w:val="none"/>
        </w:rPr>
        <w:t>为最佳工况点），轴承设计寿命应不少于100,000小时。</w:t>
      </w:r>
    </w:p>
    <w:p w14:paraId="53414E0A">
      <w:pPr>
        <w:pageBreakBefore w:val="0"/>
        <w:widowControl/>
        <w:kinsoku/>
        <w:wordWrap/>
        <w:overflowPunct/>
        <w:topLinePunct w:val="0"/>
        <w:autoSpaceDE w:val="0"/>
        <w:autoSpaceDN w:val="0"/>
        <w:bidi w:val="0"/>
        <w:adjustRightInd/>
        <w:snapToGrid/>
        <w:spacing w:line="360" w:lineRule="auto"/>
        <w:ind w:firstLine="422" w:firstLineChars="200"/>
        <w:jc w:val="left"/>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（11）电机</w:t>
      </w:r>
    </w:p>
    <w:p w14:paraId="6EBC15E2">
      <w:pPr>
        <w:pageBreakBefore w:val="0"/>
        <w:kinsoku/>
        <w:wordWrap/>
        <w:overflowPunct/>
        <w:topLinePunct w:val="0"/>
        <w:bidi w:val="0"/>
        <w:adjustRightInd/>
        <w:snapToGri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所有水泵的电机应是鼠笼式感应潜水电机，装在充气的防水的壳内。定子绕阻和定子进线的绝缘等级为F级或以上。定子应热压嵌入铸铁定子室中，不能接受采用需在定子壳上钻孔的螺栓、针和其他连接装置，电机应采用专为潜水泵设计并能连续泵送温度最高为 40℃ 的介质。电机应能每小时至少启动15 次。</w:t>
      </w:r>
    </w:p>
    <w:p w14:paraId="2A239D2D">
      <w:pPr>
        <w:pageBreakBefore w:val="0"/>
        <w:kinsoku/>
        <w:wordWrap/>
        <w:overflowPunct/>
        <w:topLinePunct w:val="0"/>
        <w:bidi w:val="0"/>
        <w:adjustRightInd/>
        <w:snapToGri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为监控每相绕阻上的温度，在每相定子进线线圈中应装有热敏开关，热敏开关的设定打开温度为140℃，关闭温度为95℃,可以与电机过载保护相连接。并接至控制柜，与控制柜连接。</w:t>
      </w:r>
    </w:p>
    <w:p w14:paraId="61620F2F">
      <w:pPr>
        <w:pageBreakBefore w:val="0"/>
        <w:kinsoku/>
        <w:wordWrap/>
        <w:overflowPunct/>
        <w:topLinePunct w:val="0"/>
        <w:bidi w:val="0"/>
        <w:adjustRightInd/>
        <w:snapToGri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电机的允许电压波动为+/-10％，电机设计成在最高40℃（104F）环境下工作，并且定子绕阻的平均升温不超过80℃，应提供一份能显示转矩、电流、功率因素、输入/输出功率和效率的性能表。该性能表还应包含启动和零负荷特性的数据。</w:t>
      </w:r>
    </w:p>
    <w:p w14:paraId="3A7B0F40">
      <w:pPr>
        <w:pageBreakBefore w:val="0"/>
        <w:widowControl/>
        <w:kinsoku/>
        <w:wordWrap/>
        <w:overflowPunct/>
        <w:topLinePunct w:val="0"/>
        <w:autoSpaceDE w:val="0"/>
        <w:autoSpaceDN w:val="0"/>
        <w:bidi w:val="0"/>
        <w:adjustRightInd/>
        <w:snapToGrid/>
        <w:spacing w:line="360" w:lineRule="auto"/>
        <w:ind w:firstLine="422" w:firstLineChars="200"/>
        <w:jc w:val="left"/>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（12）接线盒</w:t>
      </w:r>
    </w:p>
    <w:p w14:paraId="78A20F17">
      <w:pPr>
        <w:pageBreakBefore w:val="0"/>
        <w:kinsoku/>
        <w:wordWrap/>
        <w:overflowPunct/>
        <w:topLinePunct w:val="0"/>
        <w:bidi w:val="0"/>
        <w:adjustRightInd/>
        <w:snapToGri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接线盒应包括两个截然分开的端子板。一个端子板用于连接监控进线和控制电缆，另一个端子板用于连接动力电缆和电机定子进线。动力接线板应是独立的并把接线盒与定子室密封隔开。</w:t>
      </w:r>
    </w:p>
    <w:p w14:paraId="6782E852">
      <w:pPr>
        <w:pageBreakBefore w:val="0"/>
        <w:kinsoku/>
        <w:wordWrap/>
        <w:overflowPunct/>
        <w:topLinePunct w:val="0"/>
        <w:bidi w:val="0"/>
        <w:adjustRightInd/>
        <w:snapToGri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不接受接线柱或弯曲连接器，电缆进线接线盒和电机由一个不吸潮的馈电接线板相隔离，以保证任何外部物质不能通过泵的顶部进入定子室。</w:t>
      </w:r>
    </w:p>
    <w:p w14:paraId="7E484701">
      <w:pPr>
        <w:pageBreakBefore w:val="0"/>
        <w:widowControl/>
        <w:kinsoku/>
        <w:wordWrap/>
        <w:overflowPunct/>
        <w:topLinePunct w:val="0"/>
        <w:autoSpaceDE w:val="0"/>
        <w:autoSpaceDN w:val="0"/>
        <w:bidi w:val="0"/>
        <w:adjustRightInd/>
        <w:snapToGrid/>
        <w:spacing w:line="360" w:lineRule="auto"/>
        <w:ind w:firstLine="422" w:firstLineChars="200"/>
        <w:jc w:val="left"/>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（13）动力和监控电缆</w:t>
      </w:r>
    </w:p>
    <w:p w14:paraId="4BC5EE4D">
      <w:pPr>
        <w:pageBreakBefore w:val="0"/>
        <w:kinsoku/>
        <w:wordWrap/>
        <w:overflowPunct/>
        <w:topLinePunct w:val="0"/>
        <w:bidi w:val="0"/>
        <w:adjustRightInd/>
        <w:snapToGri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动力电缆的尺寸应符合IEC标准并提供足够的长度以接入接线盒且不需拼接，电缆外护套应是低吸收性的防油氯丁橡胶，并且机械柔性能承受电缆进线处的压力，电机和电缆至少应能在水下20米处连续使用而不失去其防水性能。</w:t>
      </w:r>
    </w:p>
    <w:p w14:paraId="4D904F8B">
      <w:pPr>
        <w:pageBreakBefore w:val="0"/>
        <w:widowControl/>
        <w:kinsoku/>
        <w:wordWrap/>
        <w:overflowPunct/>
        <w:topLinePunct w:val="0"/>
        <w:autoSpaceDE w:val="0"/>
        <w:autoSpaceDN w:val="0"/>
        <w:bidi w:val="0"/>
        <w:adjustRightInd/>
        <w:snapToGrid/>
        <w:spacing w:line="360" w:lineRule="auto"/>
        <w:ind w:firstLine="422" w:firstLineChars="200"/>
        <w:jc w:val="left"/>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（14）电缆进线密封</w:t>
      </w:r>
    </w:p>
    <w:p w14:paraId="0F6194DA">
      <w:pPr>
        <w:pageBreakBefore w:val="0"/>
        <w:kinsoku/>
        <w:wordWrap/>
        <w:overflowPunct/>
        <w:topLinePunct w:val="0"/>
        <w:bidi w:val="0"/>
        <w:adjustRightInd/>
        <w:snapToGri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电缆进线密封设计应能消除一定的扭矩以形成一个防水的潜水密封。电缆进线应包括一个柱形高弹性衬套，两边有垫圈，都与电缆和电缆进线紧密结合，电缆进线挤压衬套以达到一个出口冒气功能，该密封应保证电缆更换方便。</w:t>
      </w:r>
    </w:p>
    <w:p w14:paraId="75363F59">
      <w:pPr>
        <w:pageBreakBefore w:val="0"/>
        <w:widowControl/>
        <w:kinsoku/>
        <w:wordWrap/>
        <w:overflowPunct/>
        <w:topLinePunct w:val="0"/>
        <w:autoSpaceDE w:val="0"/>
        <w:autoSpaceDN w:val="0"/>
        <w:bidi w:val="0"/>
        <w:adjustRightInd/>
        <w:snapToGrid/>
        <w:spacing w:line="360" w:lineRule="auto"/>
        <w:ind w:firstLine="422" w:firstLineChars="200"/>
        <w:jc w:val="left"/>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（15）保护</w:t>
      </w:r>
    </w:p>
    <w:p w14:paraId="2AC75F7B">
      <w:pPr>
        <w:pageBreakBefore w:val="0"/>
        <w:kinsoku/>
        <w:wordWrap/>
        <w:overflowPunct/>
        <w:topLinePunct w:val="0"/>
        <w:bidi w:val="0"/>
        <w:adjustRightInd/>
        <w:snapToGri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电机定子每组绕组上应装有温度传感器，当线圈温度超过设定值，自动关停电机，并给出故障指示信号。额定功率大于60KW的电机，上下轴承应包括一独立的热敏开关，并能根据报警停机。</w:t>
      </w:r>
    </w:p>
    <w:p w14:paraId="1B3064B8">
      <w:pPr>
        <w:pageBreakBefore w:val="0"/>
        <w:kinsoku/>
        <w:wordWrap/>
        <w:overflowPunct/>
        <w:topLinePunct w:val="0"/>
        <w:bidi w:val="0"/>
        <w:adjustRightInd/>
        <w:snapToGri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额定功率大于60kW水泵应有定子室泄露监控、定子绕组热敏开关、接线室泄露监控、油室进水监控，电机应内置湿度感应器以监测湿气是否进入电机腔内。应有监测机械密封泄露设施及响应保护装置。</w:t>
      </w:r>
    </w:p>
    <w:p w14:paraId="550A6B77">
      <w:pPr>
        <w:pageBreakBefore w:val="0"/>
        <w:widowControl/>
        <w:kinsoku/>
        <w:wordWrap/>
        <w:overflowPunct/>
        <w:topLinePunct w:val="0"/>
        <w:autoSpaceDE w:val="0"/>
        <w:autoSpaceDN w:val="0"/>
        <w:bidi w:val="0"/>
        <w:adjustRightInd/>
        <w:spacing w:line="360" w:lineRule="auto"/>
        <w:ind w:firstLine="422" w:firstLineChars="200"/>
        <w:jc w:val="left"/>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（16）离心式潜水泵主要零部件材料</w:t>
      </w:r>
    </w:p>
    <w:tbl>
      <w:tblPr>
        <w:tblStyle w:val="27"/>
        <w:tblW w:w="89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0"/>
        <w:gridCol w:w="5844"/>
      </w:tblGrid>
      <w:tr w14:paraId="06D15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060" w:type="dxa"/>
            <w:vAlign w:val="center"/>
          </w:tcPr>
          <w:p w14:paraId="1D2866D0">
            <w:pPr>
              <w:pageBreakBefore w:val="0"/>
              <w:kinsoku/>
              <w:wordWrap/>
              <w:overflowPunct/>
              <w:topLinePunct w:val="0"/>
              <w:bidi w:val="0"/>
              <w:adjustRightInd/>
              <w:snapToGrid w:val="0"/>
              <w:spacing w:line="360" w:lineRule="auto"/>
              <w:jc w:val="center"/>
              <w:textAlignment w:val="auto"/>
              <w:rPr>
                <w:rFonts w:ascii="宋体" w:hAnsi="宋体" w:cs="宋体"/>
                <w:b w:val="0"/>
                <w:bCs/>
                <w:color w:val="auto"/>
                <w:sz w:val="21"/>
                <w:szCs w:val="21"/>
                <w:highlight w:val="none"/>
              </w:rPr>
            </w:pPr>
            <w:r>
              <w:rPr>
                <w:rFonts w:hint="eastAsia" w:ascii="宋体" w:hAnsi="宋体" w:cs="宋体"/>
                <w:b w:val="0"/>
                <w:bCs/>
                <w:color w:val="auto"/>
                <w:sz w:val="21"/>
                <w:szCs w:val="21"/>
                <w:highlight w:val="none"/>
              </w:rPr>
              <w:t>泵壳、电机壳</w:t>
            </w:r>
          </w:p>
        </w:tc>
        <w:tc>
          <w:tcPr>
            <w:tcW w:w="5844" w:type="dxa"/>
            <w:vAlign w:val="center"/>
          </w:tcPr>
          <w:p w14:paraId="33D65799">
            <w:pPr>
              <w:pageBreakBefore w:val="0"/>
              <w:kinsoku/>
              <w:wordWrap/>
              <w:overflowPunct/>
              <w:topLinePunct w:val="0"/>
              <w:bidi w:val="0"/>
              <w:adjustRightInd/>
              <w:snapToGrid w:val="0"/>
              <w:spacing w:line="360" w:lineRule="auto"/>
              <w:jc w:val="center"/>
              <w:textAlignment w:val="auto"/>
              <w:rPr>
                <w:rFonts w:ascii="宋体" w:hAnsi="宋体" w:cs="宋体"/>
                <w:b w:val="0"/>
                <w:bCs/>
                <w:color w:val="auto"/>
                <w:sz w:val="21"/>
                <w:szCs w:val="21"/>
                <w:highlight w:val="none"/>
              </w:rPr>
            </w:pPr>
            <w:r>
              <w:rPr>
                <w:rFonts w:hint="eastAsia" w:ascii="宋体" w:hAnsi="宋体" w:cs="宋体"/>
                <w:b w:val="0"/>
                <w:bCs/>
                <w:color w:val="auto"/>
                <w:sz w:val="21"/>
                <w:szCs w:val="21"/>
                <w:highlight w:val="none"/>
              </w:rPr>
              <w:t>铁铸或铝铸</w:t>
            </w:r>
          </w:p>
        </w:tc>
      </w:tr>
      <w:tr w14:paraId="324D2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060" w:type="dxa"/>
            <w:vAlign w:val="center"/>
          </w:tcPr>
          <w:p w14:paraId="58AABCDC">
            <w:pPr>
              <w:pageBreakBefore w:val="0"/>
              <w:kinsoku/>
              <w:wordWrap/>
              <w:overflowPunct/>
              <w:topLinePunct w:val="0"/>
              <w:bidi w:val="0"/>
              <w:adjustRightInd/>
              <w:snapToGrid w:val="0"/>
              <w:spacing w:line="360" w:lineRule="auto"/>
              <w:jc w:val="center"/>
              <w:textAlignment w:val="auto"/>
              <w:rPr>
                <w:rFonts w:ascii="宋体" w:hAnsi="宋体" w:cs="宋体"/>
                <w:b w:val="0"/>
                <w:bCs/>
                <w:color w:val="auto"/>
                <w:sz w:val="21"/>
                <w:szCs w:val="21"/>
                <w:highlight w:val="none"/>
              </w:rPr>
            </w:pPr>
            <w:r>
              <w:rPr>
                <w:rFonts w:hint="eastAsia" w:ascii="宋体" w:hAnsi="宋体" w:cs="宋体"/>
                <w:b w:val="0"/>
                <w:bCs/>
                <w:color w:val="auto"/>
                <w:sz w:val="21"/>
                <w:szCs w:val="21"/>
                <w:highlight w:val="none"/>
              </w:rPr>
              <w:t>叶轮</w:t>
            </w:r>
          </w:p>
        </w:tc>
        <w:tc>
          <w:tcPr>
            <w:tcW w:w="5844" w:type="dxa"/>
            <w:vAlign w:val="center"/>
          </w:tcPr>
          <w:p w14:paraId="4523C447">
            <w:pPr>
              <w:pageBreakBefore w:val="0"/>
              <w:kinsoku/>
              <w:wordWrap/>
              <w:overflowPunct/>
              <w:topLinePunct w:val="0"/>
              <w:bidi w:val="0"/>
              <w:adjustRightInd/>
              <w:snapToGrid w:val="0"/>
              <w:spacing w:line="360" w:lineRule="auto"/>
              <w:jc w:val="center"/>
              <w:textAlignment w:val="auto"/>
              <w:rPr>
                <w:rFonts w:ascii="宋体" w:hAnsi="宋体" w:cs="宋体"/>
                <w:b w:val="0"/>
                <w:bCs/>
                <w:color w:val="auto"/>
                <w:sz w:val="21"/>
                <w:szCs w:val="21"/>
                <w:highlight w:val="none"/>
              </w:rPr>
            </w:pPr>
            <w:r>
              <w:rPr>
                <w:rFonts w:hint="eastAsia" w:ascii="宋体" w:hAnsi="宋体" w:cs="宋体"/>
                <w:b w:val="0"/>
                <w:bCs/>
                <w:color w:val="auto"/>
                <w:sz w:val="21"/>
                <w:szCs w:val="21"/>
                <w:highlight w:val="none"/>
              </w:rPr>
              <w:t>综合废水工艺段不低于316L，浓水工艺段不低于双相钢</w:t>
            </w:r>
          </w:p>
        </w:tc>
      </w:tr>
      <w:tr w14:paraId="4211B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060" w:type="dxa"/>
            <w:vAlign w:val="center"/>
          </w:tcPr>
          <w:p w14:paraId="172FAF82">
            <w:pPr>
              <w:pageBreakBefore w:val="0"/>
              <w:kinsoku/>
              <w:wordWrap/>
              <w:overflowPunct/>
              <w:topLinePunct w:val="0"/>
              <w:bidi w:val="0"/>
              <w:adjustRightInd/>
              <w:snapToGrid w:val="0"/>
              <w:spacing w:line="360" w:lineRule="auto"/>
              <w:jc w:val="center"/>
              <w:textAlignment w:val="auto"/>
              <w:rPr>
                <w:rFonts w:ascii="宋体" w:hAnsi="宋体" w:cs="宋体"/>
                <w:b w:val="0"/>
                <w:bCs/>
                <w:color w:val="auto"/>
                <w:sz w:val="21"/>
                <w:szCs w:val="21"/>
                <w:highlight w:val="none"/>
              </w:rPr>
            </w:pPr>
            <w:r>
              <w:rPr>
                <w:rFonts w:hint="eastAsia" w:ascii="宋体" w:hAnsi="宋体" w:cs="宋体"/>
                <w:b w:val="0"/>
                <w:bCs/>
                <w:color w:val="auto"/>
                <w:sz w:val="21"/>
                <w:szCs w:val="21"/>
                <w:highlight w:val="none"/>
              </w:rPr>
              <w:t>蜗壳</w:t>
            </w:r>
          </w:p>
        </w:tc>
        <w:tc>
          <w:tcPr>
            <w:tcW w:w="5844" w:type="dxa"/>
            <w:vAlign w:val="center"/>
          </w:tcPr>
          <w:p w14:paraId="49672710">
            <w:pPr>
              <w:pageBreakBefore w:val="0"/>
              <w:kinsoku/>
              <w:wordWrap/>
              <w:overflowPunct/>
              <w:topLinePunct w:val="0"/>
              <w:bidi w:val="0"/>
              <w:adjustRightInd/>
              <w:snapToGrid w:val="0"/>
              <w:spacing w:line="360" w:lineRule="auto"/>
              <w:jc w:val="center"/>
              <w:textAlignment w:val="auto"/>
              <w:rPr>
                <w:rFonts w:ascii="宋体" w:hAnsi="宋体" w:cs="宋体"/>
                <w:b w:val="0"/>
                <w:bCs/>
                <w:color w:val="auto"/>
                <w:sz w:val="21"/>
                <w:szCs w:val="21"/>
                <w:highlight w:val="none"/>
              </w:rPr>
            </w:pPr>
            <w:r>
              <w:rPr>
                <w:rFonts w:hint="eastAsia" w:ascii="宋体" w:hAnsi="宋体" w:cs="宋体"/>
                <w:b w:val="0"/>
                <w:bCs/>
                <w:color w:val="auto"/>
                <w:sz w:val="21"/>
                <w:szCs w:val="21"/>
                <w:highlight w:val="none"/>
              </w:rPr>
              <w:t>综合废水工艺段不低于316L，浓水工艺段不低于双相钢</w:t>
            </w:r>
          </w:p>
        </w:tc>
      </w:tr>
      <w:tr w14:paraId="24B70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060" w:type="dxa"/>
            <w:vAlign w:val="center"/>
          </w:tcPr>
          <w:p w14:paraId="7B22129A">
            <w:pPr>
              <w:pageBreakBefore w:val="0"/>
              <w:kinsoku/>
              <w:wordWrap/>
              <w:overflowPunct/>
              <w:topLinePunct w:val="0"/>
              <w:bidi w:val="0"/>
              <w:adjustRightInd/>
              <w:snapToGrid w:val="0"/>
              <w:spacing w:line="360" w:lineRule="auto"/>
              <w:jc w:val="center"/>
              <w:textAlignment w:val="auto"/>
              <w:rPr>
                <w:rFonts w:ascii="宋体" w:hAnsi="宋体" w:cs="宋体"/>
                <w:b w:val="0"/>
                <w:bCs/>
                <w:color w:val="auto"/>
                <w:sz w:val="21"/>
                <w:szCs w:val="21"/>
                <w:highlight w:val="none"/>
              </w:rPr>
            </w:pPr>
            <w:r>
              <w:rPr>
                <w:rFonts w:hint="eastAsia" w:ascii="宋体" w:hAnsi="宋体" w:cs="宋体"/>
                <w:b w:val="0"/>
                <w:bCs/>
                <w:color w:val="auto"/>
                <w:sz w:val="21"/>
                <w:szCs w:val="21"/>
                <w:highlight w:val="none"/>
              </w:rPr>
              <w:t>吊链</w:t>
            </w:r>
          </w:p>
        </w:tc>
        <w:tc>
          <w:tcPr>
            <w:tcW w:w="5844" w:type="dxa"/>
            <w:vAlign w:val="center"/>
          </w:tcPr>
          <w:p w14:paraId="4817AED1">
            <w:pPr>
              <w:pageBreakBefore w:val="0"/>
              <w:kinsoku/>
              <w:wordWrap/>
              <w:overflowPunct/>
              <w:topLinePunct w:val="0"/>
              <w:bidi w:val="0"/>
              <w:adjustRightInd/>
              <w:snapToGrid w:val="0"/>
              <w:spacing w:line="360" w:lineRule="auto"/>
              <w:jc w:val="center"/>
              <w:textAlignment w:val="auto"/>
              <w:rPr>
                <w:rFonts w:ascii="宋体" w:hAnsi="宋体" w:cs="宋体"/>
                <w:b w:val="0"/>
                <w:bCs/>
                <w:color w:val="auto"/>
                <w:sz w:val="21"/>
                <w:szCs w:val="21"/>
                <w:highlight w:val="none"/>
              </w:rPr>
            </w:pPr>
            <w:r>
              <w:rPr>
                <w:rFonts w:hint="eastAsia" w:ascii="宋体" w:hAnsi="宋体" w:cs="宋体"/>
                <w:b w:val="0"/>
                <w:bCs/>
                <w:color w:val="auto"/>
                <w:sz w:val="21"/>
                <w:szCs w:val="21"/>
                <w:highlight w:val="none"/>
              </w:rPr>
              <w:t>满足氯离子要求（淡水氯离子200~1500mg/L,浓水氯离子800~6000mg/L）</w:t>
            </w:r>
          </w:p>
        </w:tc>
      </w:tr>
      <w:tr w14:paraId="4D7E1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060" w:type="dxa"/>
            <w:vAlign w:val="center"/>
          </w:tcPr>
          <w:p w14:paraId="356672BB">
            <w:pPr>
              <w:pageBreakBefore w:val="0"/>
              <w:kinsoku/>
              <w:wordWrap/>
              <w:overflowPunct/>
              <w:topLinePunct w:val="0"/>
              <w:bidi w:val="0"/>
              <w:adjustRightInd/>
              <w:snapToGrid w:val="0"/>
              <w:spacing w:line="360" w:lineRule="auto"/>
              <w:jc w:val="center"/>
              <w:textAlignment w:val="auto"/>
              <w:rPr>
                <w:rFonts w:ascii="宋体" w:hAnsi="宋体" w:cs="宋体"/>
                <w:b w:val="0"/>
                <w:bCs/>
                <w:color w:val="auto"/>
                <w:sz w:val="21"/>
                <w:szCs w:val="21"/>
                <w:highlight w:val="none"/>
              </w:rPr>
            </w:pPr>
            <w:r>
              <w:rPr>
                <w:rFonts w:hint="eastAsia" w:ascii="宋体" w:hAnsi="宋体" w:cs="宋体"/>
                <w:b w:val="0"/>
                <w:bCs/>
                <w:color w:val="auto"/>
                <w:sz w:val="21"/>
                <w:szCs w:val="21"/>
                <w:highlight w:val="none"/>
              </w:rPr>
              <w:t>导杆（导索）</w:t>
            </w:r>
          </w:p>
        </w:tc>
        <w:tc>
          <w:tcPr>
            <w:tcW w:w="5844" w:type="dxa"/>
            <w:vAlign w:val="center"/>
          </w:tcPr>
          <w:p w14:paraId="728E8D70">
            <w:pPr>
              <w:pageBreakBefore w:val="0"/>
              <w:kinsoku/>
              <w:wordWrap/>
              <w:overflowPunct/>
              <w:topLinePunct w:val="0"/>
              <w:bidi w:val="0"/>
              <w:adjustRightInd/>
              <w:snapToGrid w:val="0"/>
              <w:spacing w:line="360" w:lineRule="auto"/>
              <w:jc w:val="center"/>
              <w:textAlignment w:val="auto"/>
              <w:rPr>
                <w:rFonts w:ascii="宋体" w:hAnsi="宋体" w:cs="宋体"/>
                <w:b w:val="0"/>
                <w:bCs/>
                <w:color w:val="auto"/>
                <w:sz w:val="21"/>
                <w:szCs w:val="21"/>
                <w:highlight w:val="none"/>
              </w:rPr>
            </w:pPr>
            <w:r>
              <w:rPr>
                <w:rFonts w:hint="eastAsia" w:ascii="宋体" w:hAnsi="宋体" w:cs="宋体"/>
                <w:b w:val="0"/>
                <w:bCs/>
                <w:color w:val="auto"/>
                <w:sz w:val="21"/>
                <w:szCs w:val="21"/>
                <w:highlight w:val="none"/>
              </w:rPr>
              <w:t>满足氯离子要求（淡水氯离子200~1500mg/L,浓水氯离子800~6000mg/L）</w:t>
            </w:r>
          </w:p>
        </w:tc>
      </w:tr>
      <w:tr w14:paraId="089C2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060" w:type="dxa"/>
            <w:vAlign w:val="center"/>
          </w:tcPr>
          <w:p w14:paraId="06C82866">
            <w:pPr>
              <w:pageBreakBefore w:val="0"/>
              <w:kinsoku/>
              <w:wordWrap/>
              <w:overflowPunct/>
              <w:topLinePunct w:val="0"/>
              <w:bidi w:val="0"/>
              <w:adjustRightInd/>
              <w:snapToGrid w:val="0"/>
              <w:spacing w:line="360" w:lineRule="auto"/>
              <w:jc w:val="center"/>
              <w:textAlignment w:val="auto"/>
              <w:rPr>
                <w:rFonts w:ascii="宋体" w:hAnsi="宋体" w:cs="宋体"/>
                <w:b w:val="0"/>
                <w:bCs/>
                <w:color w:val="auto"/>
                <w:sz w:val="21"/>
                <w:szCs w:val="21"/>
                <w:highlight w:val="none"/>
              </w:rPr>
            </w:pPr>
            <w:r>
              <w:rPr>
                <w:rFonts w:hint="eastAsia" w:ascii="宋体" w:hAnsi="宋体" w:cs="宋体"/>
                <w:b w:val="0"/>
                <w:bCs/>
                <w:color w:val="auto"/>
                <w:sz w:val="21"/>
                <w:szCs w:val="21"/>
                <w:highlight w:val="none"/>
              </w:rPr>
              <w:t>鸭脚弯管（耦合器）</w:t>
            </w:r>
          </w:p>
        </w:tc>
        <w:tc>
          <w:tcPr>
            <w:tcW w:w="5844" w:type="dxa"/>
            <w:vAlign w:val="center"/>
          </w:tcPr>
          <w:p w14:paraId="5965C0C8">
            <w:pPr>
              <w:pageBreakBefore w:val="0"/>
              <w:kinsoku/>
              <w:wordWrap/>
              <w:overflowPunct/>
              <w:topLinePunct w:val="0"/>
              <w:bidi w:val="0"/>
              <w:adjustRightInd/>
              <w:snapToGrid w:val="0"/>
              <w:spacing w:line="360" w:lineRule="auto"/>
              <w:jc w:val="center"/>
              <w:textAlignment w:val="auto"/>
              <w:rPr>
                <w:rFonts w:ascii="宋体" w:hAnsi="宋体" w:cs="宋体"/>
                <w:b w:val="0"/>
                <w:bCs/>
                <w:color w:val="auto"/>
                <w:sz w:val="21"/>
                <w:szCs w:val="21"/>
                <w:highlight w:val="none"/>
              </w:rPr>
            </w:pPr>
            <w:r>
              <w:rPr>
                <w:rFonts w:hint="eastAsia" w:ascii="宋体" w:hAnsi="宋体" w:cs="宋体"/>
                <w:b w:val="0"/>
                <w:bCs/>
                <w:color w:val="auto"/>
                <w:sz w:val="21"/>
                <w:szCs w:val="21"/>
                <w:highlight w:val="none"/>
              </w:rPr>
              <w:t>灰口铸铁GG25或更优材质</w:t>
            </w:r>
          </w:p>
        </w:tc>
      </w:tr>
      <w:tr w14:paraId="2CA6E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060" w:type="dxa"/>
            <w:vAlign w:val="center"/>
          </w:tcPr>
          <w:p w14:paraId="74CDC953">
            <w:pPr>
              <w:pageBreakBefore w:val="0"/>
              <w:kinsoku/>
              <w:wordWrap/>
              <w:overflowPunct/>
              <w:topLinePunct w:val="0"/>
              <w:bidi w:val="0"/>
              <w:adjustRightInd/>
              <w:snapToGrid w:val="0"/>
              <w:spacing w:line="360" w:lineRule="auto"/>
              <w:jc w:val="center"/>
              <w:textAlignment w:val="auto"/>
              <w:rPr>
                <w:rFonts w:ascii="宋体" w:hAnsi="宋体" w:cs="宋体"/>
                <w:b w:val="0"/>
                <w:bCs/>
                <w:color w:val="auto"/>
                <w:sz w:val="21"/>
                <w:szCs w:val="21"/>
                <w:highlight w:val="none"/>
              </w:rPr>
            </w:pPr>
            <w:r>
              <w:rPr>
                <w:rFonts w:hint="eastAsia" w:ascii="宋体" w:hAnsi="宋体" w:cs="宋体"/>
                <w:b w:val="0"/>
                <w:bCs/>
                <w:color w:val="auto"/>
                <w:sz w:val="21"/>
                <w:szCs w:val="21"/>
                <w:highlight w:val="none"/>
              </w:rPr>
              <w:t>所有连接附件、地脚螺栓</w:t>
            </w:r>
          </w:p>
        </w:tc>
        <w:tc>
          <w:tcPr>
            <w:tcW w:w="5844" w:type="dxa"/>
            <w:vAlign w:val="center"/>
          </w:tcPr>
          <w:p w14:paraId="3C1E8D75">
            <w:pPr>
              <w:pageBreakBefore w:val="0"/>
              <w:kinsoku/>
              <w:wordWrap/>
              <w:overflowPunct/>
              <w:topLinePunct w:val="0"/>
              <w:bidi w:val="0"/>
              <w:adjustRightInd/>
              <w:snapToGrid w:val="0"/>
              <w:spacing w:line="360" w:lineRule="auto"/>
              <w:jc w:val="center"/>
              <w:textAlignment w:val="auto"/>
              <w:rPr>
                <w:rFonts w:ascii="宋体" w:hAnsi="宋体" w:cs="宋体"/>
                <w:b w:val="0"/>
                <w:bCs/>
                <w:color w:val="auto"/>
                <w:sz w:val="21"/>
                <w:szCs w:val="21"/>
                <w:highlight w:val="none"/>
              </w:rPr>
            </w:pPr>
            <w:r>
              <w:rPr>
                <w:rFonts w:hint="eastAsia" w:ascii="宋体" w:hAnsi="宋体" w:cs="宋体"/>
                <w:b w:val="0"/>
                <w:bCs/>
                <w:color w:val="auto"/>
                <w:sz w:val="21"/>
                <w:szCs w:val="21"/>
                <w:highlight w:val="none"/>
              </w:rPr>
              <w:t>316不锈钢或更优材质，地脚螺栓为Q</w:t>
            </w:r>
            <w:r>
              <w:rPr>
                <w:rFonts w:ascii="宋体" w:hAnsi="宋体" w:cs="宋体"/>
                <w:b w:val="0"/>
                <w:bCs/>
                <w:color w:val="auto"/>
                <w:sz w:val="21"/>
                <w:szCs w:val="21"/>
                <w:highlight w:val="none"/>
              </w:rPr>
              <w:t>235</w:t>
            </w:r>
          </w:p>
        </w:tc>
      </w:tr>
    </w:tbl>
    <w:p w14:paraId="4EDB0ECC">
      <w:pPr>
        <w:keepNext/>
        <w:keepLines/>
        <w:pageBreakBefore w:val="0"/>
        <w:numPr>
          <w:ilvl w:val="2"/>
          <w:numId w:val="0"/>
        </w:numPr>
        <w:kinsoku/>
        <w:wordWrap/>
        <w:overflowPunct/>
        <w:topLinePunct w:val="0"/>
        <w:bidi w:val="0"/>
        <w:adjustRightInd/>
        <w:spacing w:before="156" w:after="156" w:afterLines="50" w:line="360" w:lineRule="auto"/>
        <w:textAlignment w:val="auto"/>
        <w:outlineLvl w:val="5"/>
        <w:rPr>
          <w:rFonts w:ascii="黑体" w:hAnsi="黑体" w:eastAsia="黑体" w:cs="黑体"/>
          <w:color w:val="auto"/>
          <w:sz w:val="21"/>
          <w:szCs w:val="21"/>
          <w:highlight w:val="none"/>
        </w:rPr>
      </w:pPr>
      <w:r>
        <w:rPr>
          <w:rFonts w:hint="eastAsia" w:ascii="黑体" w:hAnsi="黑体" w:eastAsia="黑体" w:cs="黑体"/>
          <w:color w:val="auto"/>
          <w:sz w:val="21"/>
          <w:szCs w:val="21"/>
          <w:highlight w:val="none"/>
          <w:lang w:val="en-US" w:eastAsia="zh-CN"/>
        </w:rPr>
        <w:t>2</w:t>
      </w:r>
      <w:r>
        <w:rPr>
          <w:rFonts w:hint="eastAsia" w:ascii="黑体" w:hAnsi="黑体" w:eastAsia="黑体" w:cs="黑体"/>
          <w:color w:val="auto"/>
          <w:sz w:val="21"/>
          <w:szCs w:val="21"/>
          <w:highlight w:val="none"/>
        </w:rPr>
        <w:t>.3水平轴流泵结构及配置要求</w:t>
      </w:r>
    </w:p>
    <w:p w14:paraId="210B1AB2">
      <w:pPr>
        <w:pageBreakBefore w:val="0"/>
        <w:kinsoku/>
        <w:wordWrap/>
        <w:overflowPunct/>
        <w:topLinePunct w:val="0"/>
        <w:bidi w:val="0"/>
        <w:adjustRightInd/>
        <w:spacing w:line="360" w:lineRule="auto"/>
        <w:ind w:firstLine="401" w:firstLineChars="196"/>
        <w:textAlignment w:val="auto"/>
        <w:rPr>
          <w:rFonts w:ascii="宋体" w:hAnsi="宋体" w:cs="宋体"/>
          <w:b/>
          <w:color w:val="auto"/>
          <w:spacing w:val="-3"/>
          <w:sz w:val="21"/>
          <w:szCs w:val="21"/>
          <w:highlight w:val="none"/>
          <w:lang w:val="en-GB"/>
        </w:rPr>
      </w:pPr>
      <w:r>
        <w:rPr>
          <w:rFonts w:hint="eastAsia" w:ascii="宋体" w:hAnsi="宋体" w:cs="宋体"/>
          <w:b/>
          <w:color w:val="auto"/>
          <w:spacing w:val="-3"/>
          <w:sz w:val="21"/>
          <w:szCs w:val="21"/>
          <w:highlight w:val="none"/>
          <w:lang w:val="en-GB"/>
        </w:rPr>
        <w:t>（1）国际标准认证</w:t>
      </w:r>
    </w:p>
    <w:p w14:paraId="58325726">
      <w:pPr>
        <w:pageBreakBefore w:val="0"/>
        <w:kinsoku/>
        <w:wordWrap/>
        <w:overflowPunct/>
        <w:topLinePunct w:val="0"/>
        <w:bidi w:val="0"/>
        <w:adjustRightInd/>
        <w:spacing w:after="120"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每台水泵都需要按照国家和国际标准包括但不限于IEC34-1, HI, CSA和ISO 9906测试和认证。</w:t>
      </w:r>
    </w:p>
    <w:p w14:paraId="2FD1AF03">
      <w:pPr>
        <w:pageBreakBefore w:val="0"/>
        <w:kinsoku/>
        <w:wordWrap/>
        <w:overflowPunct/>
        <w:topLinePunct w:val="0"/>
        <w:bidi w:val="0"/>
        <w:adjustRightInd/>
        <w:spacing w:line="360" w:lineRule="auto"/>
        <w:ind w:firstLine="401" w:firstLineChars="196"/>
        <w:textAlignment w:val="auto"/>
        <w:rPr>
          <w:rFonts w:ascii="宋体" w:hAnsi="宋体" w:cs="宋体"/>
          <w:b/>
          <w:color w:val="auto"/>
          <w:spacing w:val="-3"/>
          <w:sz w:val="21"/>
          <w:szCs w:val="21"/>
          <w:highlight w:val="none"/>
          <w:lang w:val="en-GB"/>
        </w:rPr>
      </w:pPr>
      <w:r>
        <w:rPr>
          <w:rFonts w:hint="eastAsia" w:ascii="宋体" w:hAnsi="宋体" w:cs="宋体"/>
          <w:b/>
          <w:color w:val="auto"/>
          <w:spacing w:val="-3"/>
          <w:sz w:val="21"/>
          <w:szCs w:val="21"/>
          <w:highlight w:val="none"/>
          <w:lang w:val="en-GB"/>
        </w:rPr>
        <w:t>（2）性能保证</w:t>
      </w:r>
    </w:p>
    <w:p w14:paraId="12C53A33">
      <w:pPr>
        <w:pageBreakBefore w:val="0"/>
        <w:kinsoku/>
        <w:wordWrap/>
        <w:overflowPunct/>
        <w:topLinePunct w:val="0"/>
        <w:bidi w:val="0"/>
        <w:adjustRightInd/>
        <w:spacing w:after="120"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工况点的保证应该按照ISO9906标准的规定。不可以按照已经淘汰的ISO 2548或者ISO 3555标准。</w:t>
      </w:r>
    </w:p>
    <w:p w14:paraId="3B76BC5E">
      <w:pPr>
        <w:pageBreakBefore w:val="0"/>
        <w:kinsoku/>
        <w:wordWrap/>
        <w:overflowPunct/>
        <w:topLinePunct w:val="0"/>
        <w:bidi w:val="0"/>
        <w:adjustRightInd/>
        <w:spacing w:after="120"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对于直连水泵，总效率（水力效率×电机效率）必须保证满足。（水力效率只能在不采购电机时采用）</w:t>
      </w:r>
    </w:p>
    <w:p w14:paraId="78BCD249">
      <w:pPr>
        <w:pageBreakBefore w:val="0"/>
        <w:widowControl/>
        <w:kinsoku/>
        <w:wordWrap/>
        <w:overflowPunct/>
        <w:topLinePunct w:val="0"/>
        <w:autoSpaceDE w:val="0"/>
        <w:autoSpaceDN w:val="0"/>
        <w:bidi w:val="0"/>
        <w:adjustRightInd/>
        <w:spacing w:line="360" w:lineRule="auto"/>
        <w:ind w:firstLine="413" w:firstLineChars="196"/>
        <w:textAlignment w:val="auto"/>
        <w:rPr>
          <w:rFonts w:ascii="宋体" w:hAnsi="宋体" w:cs="宋体"/>
          <w:b/>
          <w:color w:val="auto"/>
          <w:sz w:val="21"/>
          <w:szCs w:val="21"/>
          <w:highlight w:val="none"/>
        </w:rPr>
      </w:pPr>
      <w:r>
        <w:rPr>
          <w:rFonts w:hint="eastAsia" w:ascii="宋体" w:hAnsi="宋体" w:cs="宋体"/>
          <w:b/>
          <w:bCs/>
          <w:color w:val="auto"/>
          <w:sz w:val="21"/>
          <w:szCs w:val="21"/>
          <w:highlight w:val="none"/>
        </w:rPr>
        <w:t>（3）水泵的设计</w:t>
      </w:r>
    </w:p>
    <w:p w14:paraId="7F8EC757">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水泵能处理污水和回流污泥。水泵可上下升降，方便移动，检查或维修无需人员进入湿井。滑行杆支架作为水泵整体部件之一。水泵全部的重量受力在一个支架上，并且这个支架可承受水泵形成的推力。水泵、附件和电缆在20米水深无泄漏损失，可连续潜水运行。</w:t>
      </w:r>
    </w:p>
    <w:p w14:paraId="01DE5582">
      <w:pPr>
        <w:pageBreakBefore w:val="0"/>
        <w:widowControl/>
        <w:kinsoku/>
        <w:wordWrap/>
        <w:overflowPunct/>
        <w:topLinePunct w:val="0"/>
        <w:autoSpaceDE w:val="0"/>
        <w:autoSpaceDN w:val="0"/>
        <w:bidi w:val="0"/>
        <w:adjustRightInd/>
        <w:spacing w:line="360" w:lineRule="auto"/>
        <w:ind w:left="357" w:leftChars="170"/>
        <w:textAlignment w:val="auto"/>
        <w:rPr>
          <w:rFonts w:ascii="宋体" w:hAnsi="宋体" w:cs="宋体"/>
          <w:color w:val="auto"/>
          <w:sz w:val="21"/>
          <w:szCs w:val="21"/>
          <w:highlight w:val="none"/>
        </w:rPr>
      </w:pPr>
      <w:r>
        <w:rPr>
          <w:rFonts w:hint="eastAsia" w:ascii="宋体" w:hAnsi="宋体" w:cs="宋体"/>
          <w:b/>
          <w:bCs/>
          <w:color w:val="auto"/>
          <w:sz w:val="21"/>
          <w:szCs w:val="21"/>
          <w:highlight w:val="none"/>
        </w:rPr>
        <w:t>（4）水泵的构造</w:t>
      </w:r>
    </w:p>
    <w:p w14:paraId="58EDE533">
      <w:pPr>
        <w:pageBreakBefore w:val="0"/>
        <w:kinsoku/>
        <w:wordWrap/>
        <w:overflowPunct/>
        <w:topLinePunct w:val="0"/>
        <w:bidi w:val="0"/>
        <w:adjustRightInd/>
        <w:spacing w:line="360" w:lineRule="auto"/>
        <w:ind w:firstLine="420" w:firstLineChars="200"/>
        <w:textAlignment w:val="auto"/>
        <w:rPr>
          <w:rFonts w:ascii="宋体" w:hAnsi="宋体" w:cs="宋体"/>
          <w:b/>
          <w:color w:val="auto"/>
          <w:sz w:val="21"/>
          <w:szCs w:val="21"/>
          <w:highlight w:val="none"/>
        </w:rPr>
      </w:pPr>
      <w:r>
        <w:rPr>
          <w:rFonts w:hint="eastAsia" w:ascii="宋体" w:hAnsi="宋体" w:cs="宋体"/>
          <w:color w:val="auto"/>
          <w:sz w:val="21"/>
          <w:szCs w:val="21"/>
          <w:highlight w:val="none"/>
        </w:rPr>
        <w:t>水泵能自动稳固地与排水连接管联接，并且水泵能在导杆引导下从泵坑顶部到排水连接管之间自由滑动。泵/电机的任何部分不直接与泵坑底板接触或放在泵坑底板的支座上。</w:t>
      </w:r>
    </w:p>
    <w:p w14:paraId="60315D85">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每台水泵为封闭式连接的潜水型整体设计。水泵所有的组件包括电机可在水下连续运转。所有外露的螺母、螺栓、垫片均为316不锈钢。定子室上方有一不锈钢盖。油室盖是耐腐蚀合成材料。水泵主件的密封设计是金属与金属的接触。需要防水密封的临界接触面是机械加工、并嵌入两组腈或氟化橡胶O-型圈，它导致两个面上的橡胶O-型圈及O型圈接触的四个侧面受力压紧。不使用需要一定扭矩才能达到压紧效果的形式，也不使用矩形截面垫片及密封复合物。</w:t>
      </w:r>
    </w:p>
    <w:p w14:paraId="540F78FB">
      <w:pPr>
        <w:pageBreakBefore w:val="0"/>
        <w:widowControl/>
        <w:kinsoku/>
        <w:wordWrap/>
        <w:overflowPunct/>
        <w:topLinePunct w:val="0"/>
        <w:autoSpaceDE w:val="0"/>
        <w:autoSpaceDN w:val="0"/>
        <w:bidi w:val="0"/>
        <w:adjustRightInd/>
        <w:spacing w:line="360" w:lineRule="auto"/>
        <w:ind w:left="357" w:leftChars="170"/>
        <w:textAlignment w:val="auto"/>
        <w:rPr>
          <w:rFonts w:ascii="宋体" w:hAnsi="宋体" w:cs="宋体"/>
          <w:b/>
          <w:color w:val="auto"/>
          <w:sz w:val="21"/>
          <w:szCs w:val="21"/>
          <w:highlight w:val="none"/>
        </w:rPr>
      </w:pPr>
      <w:r>
        <w:rPr>
          <w:rFonts w:hint="eastAsia" w:ascii="宋体" w:hAnsi="宋体" w:cs="宋体"/>
          <w:b/>
          <w:bCs/>
          <w:color w:val="auto"/>
          <w:sz w:val="21"/>
          <w:szCs w:val="21"/>
          <w:highlight w:val="none"/>
        </w:rPr>
        <w:t>（5）冷却系统</w:t>
      </w:r>
    </w:p>
    <w:p w14:paraId="281855F3">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电机能被周围搅拌介质充分冷却。</w:t>
      </w:r>
    </w:p>
    <w:p w14:paraId="12687FF7">
      <w:pPr>
        <w:pageBreakBefore w:val="0"/>
        <w:widowControl/>
        <w:kinsoku/>
        <w:wordWrap/>
        <w:overflowPunct/>
        <w:topLinePunct w:val="0"/>
        <w:autoSpaceDE w:val="0"/>
        <w:autoSpaceDN w:val="0"/>
        <w:bidi w:val="0"/>
        <w:adjustRightInd/>
        <w:spacing w:line="360" w:lineRule="auto"/>
        <w:ind w:left="357" w:leftChars="170"/>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（6）电缆进线密封</w:t>
      </w:r>
    </w:p>
    <w:p w14:paraId="36600BA6">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电缆接线室是一个带固定板的完整部件。电缆入口处有弹性衬套，保证防水和潜水密封。不采用单一的密封系统。电缆入口包含圆柱型弹性衬套。每个衬套带垫圈和一个套圈，它们有精密的公差设计以适应电缆的外径和入口的内径。衬套可被一个密封盖挤压。不利用扭矩作旋转密封，而是靠密封盖和套圈之间的相互作用，沿电缆轴向移动衬套。接线室和电机室被一接线板隔离，保护电机，避免外部物质通过水泵顶端进入。该连线板被螺纹压紧型固定，电缆可安全地连接在接线板上。接线板由两个O型圈与定子室隔离密封，并且保证电缆更换的方便。</w:t>
      </w:r>
    </w:p>
    <w:p w14:paraId="2D443B33">
      <w:pPr>
        <w:pageBreakBefore w:val="0"/>
        <w:widowControl/>
        <w:kinsoku/>
        <w:wordWrap/>
        <w:overflowPunct/>
        <w:topLinePunct w:val="0"/>
        <w:autoSpaceDE w:val="0"/>
        <w:autoSpaceDN w:val="0"/>
        <w:bidi w:val="0"/>
        <w:adjustRightInd/>
        <w:spacing w:line="360" w:lineRule="auto"/>
        <w:ind w:left="357" w:leftChars="170"/>
        <w:textAlignment w:val="auto"/>
        <w:rPr>
          <w:rFonts w:ascii="宋体" w:hAnsi="宋体" w:cs="宋体"/>
          <w:b/>
          <w:color w:val="auto"/>
          <w:sz w:val="21"/>
          <w:szCs w:val="21"/>
          <w:highlight w:val="none"/>
        </w:rPr>
      </w:pPr>
      <w:r>
        <w:rPr>
          <w:rFonts w:hint="eastAsia" w:ascii="宋体" w:hAnsi="宋体" w:cs="宋体"/>
          <w:b/>
          <w:bCs/>
          <w:color w:val="auto"/>
          <w:sz w:val="21"/>
          <w:szCs w:val="21"/>
          <w:highlight w:val="none"/>
        </w:rPr>
        <w:t>（7）电机</w:t>
      </w:r>
    </w:p>
    <w:p w14:paraId="2F3A0E39">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 xml:space="preserve">水泵的电机是鼠笼式感应电机，装在充气的防水的壳内。定子绕组和定子进线的绝缘等级为F级或以上。定子热压嵌入定子室，不采用需在定子壳上钻孔的螺栓、针和其它连接装置。电机设计成可连续处理搅拌 40 </w:t>
      </w:r>
      <w:r>
        <w:rPr>
          <w:rFonts w:hint="eastAsia" w:ascii="宋体" w:hAnsi="宋体" w:cs="宋体"/>
          <w:color w:val="auto"/>
          <w:sz w:val="21"/>
          <w:szCs w:val="21"/>
          <w:highlight w:val="none"/>
          <w:vertAlign w:val="superscript"/>
        </w:rPr>
        <w:t xml:space="preserve">o </w:t>
      </w:r>
      <w:r>
        <w:rPr>
          <w:rFonts w:hint="eastAsia" w:ascii="宋体" w:hAnsi="宋体" w:cs="宋体"/>
          <w:color w:val="auto"/>
          <w:sz w:val="21"/>
          <w:szCs w:val="21"/>
          <w:highlight w:val="none"/>
        </w:rPr>
        <w:t>C 的介质，每小时可至少起动15次。为监控每相绕组上的温度，在定子进线线圈中装有热敏开关，热敏开关的设定打开温度为140</w:t>
      </w:r>
      <w:r>
        <w:rPr>
          <w:rFonts w:hint="eastAsia" w:ascii="宋体" w:hAnsi="宋体" w:cs="宋体"/>
          <w:color w:val="auto"/>
          <w:sz w:val="21"/>
          <w:szCs w:val="21"/>
          <w:highlight w:val="none"/>
          <w:vertAlign w:val="superscript"/>
        </w:rPr>
        <w:t>o</w:t>
      </w:r>
      <w:r>
        <w:rPr>
          <w:rFonts w:hint="eastAsia" w:ascii="宋体" w:hAnsi="宋体" w:cs="宋体"/>
          <w:color w:val="auto"/>
          <w:sz w:val="21"/>
          <w:szCs w:val="21"/>
          <w:highlight w:val="none"/>
        </w:rPr>
        <w:t>C，与电机过载保护相连接，并与控制柜连接。</w:t>
      </w:r>
    </w:p>
    <w:p w14:paraId="71200023">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 xml:space="preserve">电机的允许电压波动为+/-10%，电机设计成在最高40 </w:t>
      </w:r>
      <w:r>
        <w:rPr>
          <w:rFonts w:hint="eastAsia" w:ascii="宋体" w:hAnsi="宋体" w:cs="宋体"/>
          <w:color w:val="auto"/>
          <w:sz w:val="21"/>
          <w:szCs w:val="21"/>
          <w:highlight w:val="none"/>
          <w:vertAlign w:val="superscript"/>
        </w:rPr>
        <w:t xml:space="preserve">o </w:t>
      </w:r>
      <w:r>
        <w:rPr>
          <w:rFonts w:hint="eastAsia" w:ascii="宋体" w:hAnsi="宋体" w:cs="宋体"/>
          <w:color w:val="auto"/>
          <w:sz w:val="21"/>
          <w:szCs w:val="21"/>
          <w:highlight w:val="none"/>
        </w:rPr>
        <w:t xml:space="preserve">C 环境下工作，并且定子绕组的平均温度不超过85 </w:t>
      </w:r>
      <w:r>
        <w:rPr>
          <w:rFonts w:hint="eastAsia" w:ascii="宋体" w:hAnsi="宋体" w:cs="宋体"/>
          <w:color w:val="auto"/>
          <w:sz w:val="21"/>
          <w:szCs w:val="21"/>
          <w:highlight w:val="none"/>
          <w:vertAlign w:val="superscript"/>
        </w:rPr>
        <w:t xml:space="preserve">o </w:t>
      </w:r>
      <w:r>
        <w:rPr>
          <w:rFonts w:hint="eastAsia" w:ascii="宋体" w:hAnsi="宋体" w:cs="宋体"/>
          <w:color w:val="auto"/>
          <w:sz w:val="21"/>
          <w:szCs w:val="21"/>
          <w:highlight w:val="none"/>
        </w:rPr>
        <w:t>C，提供一份能显示转矩、电流、功率因素、输入/输出功率和效率的性能表。该性能表还包含起动和零负荷特性的数据。</w:t>
      </w:r>
    </w:p>
    <w:p w14:paraId="659914D6">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 xml:space="preserve">电缆包含两根 1.5mm </w:t>
      </w:r>
      <w:r>
        <w:rPr>
          <w:rFonts w:hint="eastAsia" w:ascii="宋体" w:hAnsi="宋体" w:cs="宋体"/>
          <w:color w:val="auto"/>
          <w:sz w:val="21"/>
          <w:szCs w:val="21"/>
          <w:highlight w:val="none"/>
          <w:vertAlign w:val="superscript"/>
        </w:rPr>
        <w:t xml:space="preserve">2 </w:t>
      </w:r>
      <w:r>
        <w:rPr>
          <w:rFonts w:hint="eastAsia" w:ascii="宋体" w:hAnsi="宋体" w:cs="宋体"/>
          <w:color w:val="auto"/>
          <w:sz w:val="21"/>
          <w:szCs w:val="21"/>
          <w:highlight w:val="none"/>
        </w:rPr>
        <w:t>导线，用于连接热敏开关和可选保护传感器。</w:t>
      </w:r>
    </w:p>
    <w:p w14:paraId="1C159E2B">
      <w:pPr>
        <w:pageBreakBefore w:val="0"/>
        <w:widowControl/>
        <w:kinsoku/>
        <w:wordWrap/>
        <w:overflowPunct/>
        <w:topLinePunct w:val="0"/>
        <w:autoSpaceDE w:val="0"/>
        <w:autoSpaceDN w:val="0"/>
        <w:bidi w:val="0"/>
        <w:adjustRightInd/>
        <w:spacing w:line="360" w:lineRule="auto"/>
        <w:ind w:left="357" w:leftChars="170"/>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（8）轴承</w:t>
      </w:r>
    </w:p>
    <w:p w14:paraId="6653D0D3">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水泵和电机的轴是连续无间断的轴，轴在油脂润滑的三个轴承上转动。上轴承包括一个滚珠轴承承担径向力及一个向心止推轴承来承担轴向力。主轴承是一个单滚珠轴承用于承担轴向力。所有轴承设计寿命应不少于100,000小时。</w:t>
      </w:r>
    </w:p>
    <w:p w14:paraId="4FDBA85C">
      <w:pPr>
        <w:pageBreakBefore w:val="0"/>
        <w:widowControl/>
        <w:kinsoku/>
        <w:wordWrap/>
        <w:overflowPunct/>
        <w:topLinePunct w:val="0"/>
        <w:autoSpaceDE w:val="0"/>
        <w:autoSpaceDN w:val="0"/>
        <w:bidi w:val="0"/>
        <w:adjustRightInd/>
        <w:spacing w:line="360" w:lineRule="auto"/>
        <w:ind w:left="357" w:leftChars="170"/>
        <w:textAlignment w:val="auto"/>
        <w:rPr>
          <w:rFonts w:ascii="宋体" w:hAnsi="宋体" w:cs="宋体"/>
          <w:color w:val="auto"/>
          <w:sz w:val="21"/>
          <w:szCs w:val="21"/>
          <w:highlight w:val="none"/>
        </w:rPr>
      </w:pPr>
      <w:r>
        <w:rPr>
          <w:rFonts w:hint="eastAsia" w:ascii="宋体" w:hAnsi="宋体" w:cs="宋体"/>
          <w:b/>
          <w:bCs/>
          <w:color w:val="auto"/>
          <w:sz w:val="21"/>
          <w:szCs w:val="21"/>
          <w:highlight w:val="none"/>
        </w:rPr>
        <w:t>（9）机械密封</w:t>
      </w:r>
    </w:p>
    <w:p w14:paraId="0133B2C7">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kern w:val="0"/>
          <w:sz w:val="21"/>
          <w:szCs w:val="21"/>
          <w:highlight w:val="none"/>
          <w:lang w:val="en-GB"/>
        </w:rPr>
        <w:t>每台螺旋桨泵配有一个上下两道串联的且双重独立的机械密封。</w:t>
      </w:r>
      <w:r>
        <w:rPr>
          <w:rFonts w:hint="eastAsia" w:ascii="宋体" w:hAnsi="宋体" w:cs="宋体"/>
          <w:color w:val="auto"/>
          <w:sz w:val="21"/>
          <w:szCs w:val="21"/>
          <w:highlight w:val="none"/>
        </w:rPr>
        <w:t>密封在一个油腔内运行，该油腔能以一稳定的流速对重叠的密封面进行润滑。外机械密封为耐腐蚀烧结碳化钨或碳化硅，避免搅拌液进入油腔。内机械密封为耐腐蚀烧结碳化钨或碳化硅，避免油腔中的油进入电机。内外机械密封各自独立地运行。机械密封寿命不低于25,000小时。</w:t>
      </w:r>
    </w:p>
    <w:p w14:paraId="0E652E9D">
      <w:pPr>
        <w:pageBreakBefore w:val="0"/>
        <w:widowControl/>
        <w:kinsoku/>
        <w:wordWrap/>
        <w:overflowPunct/>
        <w:topLinePunct w:val="0"/>
        <w:autoSpaceDE w:val="0"/>
        <w:autoSpaceDN w:val="0"/>
        <w:bidi w:val="0"/>
        <w:adjustRightInd/>
        <w:spacing w:line="360" w:lineRule="auto"/>
        <w:ind w:left="357" w:leftChars="170"/>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（10）水泵轴</w:t>
      </w:r>
    </w:p>
    <w:p w14:paraId="2B921C73">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螺旋浆和电机的轴是同一个，螺旋桨所的轴是电机轴的延伸。或采用耦连方式。轴的材料为不锈钢420 。螺旋桨轴完全与泵送介质隔离。</w:t>
      </w:r>
    </w:p>
    <w:p w14:paraId="3C74A75E">
      <w:pPr>
        <w:pageBreakBefore w:val="0"/>
        <w:widowControl/>
        <w:kinsoku/>
        <w:wordWrap/>
        <w:overflowPunct/>
        <w:topLinePunct w:val="0"/>
        <w:autoSpaceDE w:val="0"/>
        <w:autoSpaceDN w:val="0"/>
        <w:bidi w:val="0"/>
        <w:adjustRightInd/>
        <w:spacing w:line="360" w:lineRule="auto"/>
        <w:ind w:left="357" w:leftChars="170"/>
        <w:textAlignment w:val="auto"/>
        <w:rPr>
          <w:rFonts w:ascii="宋体" w:hAnsi="宋体" w:cs="宋体"/>
          <w:b/>
          <w:color w:val="auto"/>
          <w:sz w:val="21"/>
          <w:szCs w:val="21"/>
          <w:highlight w:val="none"/>
        </w:rPr>
      </w:pPr>
      <w:r>
        <w:rPr>
          <w:rFonts w:hint="eastAsia" w:ascii="宋体" w:hAnsi="宋体" w:cs="宋体"/>
          <w:b/>
          <w:bCs/>
          <w:color w:val="auto"/>
          <w:sz w:val="21"/>
          <w:szCs w:val="21"/>
          <w:highlight w:val="none"/>
        </w:rPr>
        <w:t>（11）螺旋桨（叶轮）</w:t>
      </w:r>
    </w:p>
    <w:p w14:paraId="721235DE">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螺旋桨材质为是316不锈钢或更优材质，采用水力平衡的无堵塞的后扫式设计。螺旋桨能处理常规污水。</w:t>
      </w:r>
      <w:r>
        <w:rPr>
          <w:rFonts w:hint="eastAsia" w:ascii="宋体" w:hAnsi="宋体" w:cs="宋体"/>
          <w:color w:val="auto"/>
          <w:sz w:val="21"/>
          <w:szCs w:val="21"/>
          <w:highlight w:val="none"/>
          <w:vertAlign w:val="superscript"/>
        </w:rPr>
        <w:t xml:space="preserve"> </w:t>
      </w:r>
    </w:p>
    <w:p w14:paraId="45B0AE75">
      <w:pPr>
        <w:pageBreakBefore w:val="0"/>
        <w:widowControl/>
        <w:kinsoku/>
        <w:wordWrap/>
        <w:overflowPunct/>
        <w:topLinePunct w:val="0"/>
        <w:autoSpaceDE w:val="0"/>
        <w:autoSpaceDN w:val="0"/>
        <w:bidi w:val="0"/>
        <w:adjustRightInd/>
        <w:spacing w:line="360" w:lineRule="auto"/>
        <w:ind w:left="357" w:leftChars="170"/>
        <w:textAlignment w:val="auto"/>
        <w:rPr>
          <w:rFonts w:ascii="宋体" w:hAnsi="宋体" w:cs="宋体"/>
          <w:b/>
          <w:color w:val="auto"/>
          <w:sz w:val="21"/>
          <w:szCs w:val="21"/>
          <w:highlight w:val="none"/>
        </w:rPr>
      </w:pPr>
      <w:r>
        <w:rPr>
          <w:rFonts w:hint="eastAsia" w:ascii="宋体" w:hAnsi="宋体" w:cs="宋体"/>
          <w:b/>
          <w:bCs/>
          <w:color w:val="auto"/>
          <w:sz w:val="21"/>
          <w:szCs w:val="21"/>
          <w:highlight w:val="none"/>
        </w:rPr>
        <w:t>（12）保护</w:t>
      </w:r>
    </w:p>
    <w:p w14:paraId="7DED9F28">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电机定子每组绕组上应装有温度传感器，当线圈温度超过设定值，自动关停电机，并给出故障指示信号。</w:t>
      </w:r>
    </w:p>
    <w:p w14:paraId="0C512F8F">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制造商应提供一个能在外部界面显示水泵电机内部传感器信号的状态监控继电器，该继电器可以安装在任何控制箱内。</w:t>
      </w:r>
    </w:p>
    <w:p w14:paraId="704BC2BE">
      <w:pPr>
        <w:pageBreakBefore w:val="0"/>
        <w:kinsoku/>
        <w:wordWrap/>
        <w:overflowPunct/>
        <w:topLinePunct w:val="0"/>
        <w:bidi w:val="0"/>
        <w:adjustRightInd/>
        <w:spacing w:line="360" w:lineRule="auto"/>
        <w:ind w:firstLine="422" w:firstLineChars="200"/>
        <w:textAlignment w:val="auto"/>
        <w:rPr>
          <w:rFonts w:ascii="宋体" w:hAnsi="宋体" w:cs="宋体"/>
          <w:b/>
          <w:color w:val="auto"/>
          <w:sz w:val="21"/>
          <w:szCs w:val="21"/>
          <w:highlight w:val="none"/>
        </w:rPr>
      </w:pPr>
      <w:r>
        <w:rPr>
          <w:rFonts w:hint="eastAsia" w:ascii="宋体" w:hAnsi="宋体" w:cs="宋体"/>
          <w:b/>
          <w:color w:val="auto"/>
          <w:sz w:val="21"/>
          <w:szCs w:val="21"/>
          <w:highlight w:val="none"/>
        </w:rPr>
        <w:t>（13）提升支架</w:t>
      </w:r>
    </w:p>
    <w:p w14:paraId="08AFF77A">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导杆、水上提升吊架、吊架插筒均为304不锈钢材质，导杆横截面尺寸应不小于100mm（长）*100mm(宽)*5mm(壁厚) ,不接受水泥墩与不锈钢导杆相结合的支架系统。每台螺旋桨泵配置专用提升装置，专用提升装置应能准确、安全、方便地安装和提升设备。投标人提供所有连接附件、安装用螺栓，材质为316不锈钢，螺栓需选用质量可靠的品牌。</w:t>
      </w:r>
    </w:p>
    <w:p w14:paraId="0B8E814A">
      <w:pPr>
        <w:pageBreakBefore w:val="0"/>
        <w:widowControl/>
        <w:kinsoku/>
        <w:wordWrap/>
        <w:overflowPunct/>
        <w:topLinePunct w:val="0"/>
        <w:autoSpaceDE w:val="0"/>
        <w:autoSpaceDN w:val="0"/>
        <w:bidi w:val="0"/>
        <w:adjustRightInd/>
        <w:spacing w:line="360" w:lineRule="auto"/>
        <w:ind w:left="357" w:leftChars="170"/>
        <w:textAlignment w:val="auto"/>
        <w:rPr>
          <w:rFonts w:ascii="宋体" w:hAnsi="宋体" w:cs="宋体"/>
          <w:b/>
          <w:color w:val="auto"/>
          <w:sz w:val="21"/>
          <w:szCs w:val="21"/>
          <w:highlight w:val="none"/>
        </w:rPr>
      </w:pPr>
      <w:r>
        <w:rPr>
          <w:rFonts w:hint="eastAsia" w:ascii="宋体" w:hAnsi="宋体" w:cs="宋体"/>
          <w:b/>
          <w:bCs/>
          <w:color w:val="auto"/>
          <w:sz w:val="21"/>
          <w:szCs w:val="21"/>
          <w:highlight w:val="none"/>
        </w:rPr>
        <w:t>（14）</w:t>
      </w:r>
      <w:r>
        <w:rPr>
          <w:rFonts w:hint="eastAsia" w:ascii="宋体" w:hAnsi="宋体" w:cs="宋体"/>
          <w:b/>
          <w:color w:val="auto"/>
          <w:kern w:val="0"/>
          <w:sz w:val="21"/>
          <w:szCs w:val="21"/>
          <w:highlight w:val="none"/>
        </w:rPr>
        <w:t>回流泵</w:t>
      </w:r>
      <w:r>
        <w:rPr>
          <w:rFonts w:hint="eastAsia" w:ascii="宋体" w:hAnsi="宋体" w:cs="宋体"/>
          <w:b/>
          <w:bCs/>
          <w:color w:val="auto"/>
          <w:sz w:val="21"/>
          <w:szCs w:val="21"/>
          <w:highlight w:val="none"/>
        </w:rPr>
        <w:t>泵主要零部件材料</w:t>
      </w:r>
    </w:p>
    <w:tbl>
      <w:tblPr>
        <w:tblStyle w:val="27"/>
        <w:tblW w:w="90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54"/>
        <w:gridCol w:w="5970"/>
      </w:tblGrid>
      <w:tr w14:paraId="5F277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jc w:val="center"/>
        </w:trPr>
        <w:tc>
          <w:tcPr>
            <w:tcW w:w="3054" w:type="dxa"/>
            <w:vAlign w:val="center"/>
          </w:tcPr>
          <w:p w14:paraId="6EC91A54">
            <w:pPr>
              <w:pageBreakBefore w:val="0"/>
              <w:kinsoku/>
              <w:wordWrap/>
              <w:overflowPunct/>
              <w:topLinePunct w:val="0"/>
              <w:bidi w:val="0"/>
              <w:adjustRightInd/>
              <w:spacing w:line="360" w:lineRule="auto"/>
              <w:jc w:val="center"/>
              <w:textAlignment w:val="auto"/>
              <w:rPr>
                <w:rFonts w:ascii="宋体" w:hAnsi="宋体" w:cs="宋体"/>
                <w:b w:val="0"/>
                <w:bCs/>
                <w:color w:val="auto"/>
                <w:sz w:val="21"/>
                <w:szCs w:val="21"/>
                <w:highlight w:val="none"/>
              </w:rPr>
            </w:pPr>
            <w:r>
              <w:rPr>
                <w:rFonts w:hint="eastAsia" w:ascii="宋体" w:hAnsi="宋体" w:cs="宋体"/>
                <w:b w:val="0"/>
                <w:bCs/>
                <w:color w:val="auto"/>
                <w:sz w:val="21"/>
                <w:szCs w:val="21"/>
                <w:highlight w:val="none"/>
              </w:rPr>
              <w:t>电机壳</w:t>
            </w:r>
          </w:p>
        </w:tc>
        <w:tc>
          <w:tcPr>
            <w:tcW w:w="5970" w:type="dxa"/>
            <w:vAlign w:val="center"/>
          </w:tcPr>
          <w:p w14:paraId="758FF7B2">
            <w:pPr>
              <w:pageBreakBefore w:val="0"/>
              <w:kinsoku/>
              <w:wordWrap/>
              <w:overflowPunct/>
              <w:topLinePunct w:val="0"/>
              <w:bidi w:val="0"/>
              <w:adjustRightInd/>
              <w:spacing w:line="360" w:lineRule="auto"/>
              <w:jc w:val="center"/>
              <w:textAlignment w:val="auto"/>
              <w:rPr>
                <w:rFonts w:ascii="宋体" w:hAnsi="宋体" w:cs="宋体"/>
                <w:b w:val="0"/>
                <w:bCs/>
                <w:color w:val="auto"/>
                <w:sz w:val="21"/>
                <w:szCs w:val="21"/>
                <w:highlight w:val="none"/>
              </w:rPr>
            </w:pPr>
            <w:r>
              <w:rPr>
                <w:rFonts w:hint="eastAsia" w:ascii="宋体" w:hAnsi="宋体" w:cs="宋体"/>
                <w:b w:val="0"/>
                <w:bCs/>
                <w:color w:val="auto"/>
                <w:sz w:val="21"/>
                <w:szCs w:val="21"/>
                <w:highlight w:val="none"/>
              </w:rPr>
              <w:t>铁铸或铝铸</w:t>
            </w:r>
          </w:p>
        </w:tc>
      </w:tr>
      <w:tr w14:paraId="0BDCD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jc w:val="center"/>
        </w:trPr>
        <w:tc>
          <w:tcPr>
            <w:tcW w:w="3054" w:type="dxa"/>
            <w:vAlign w:val="center"/>
          </w:tcPr>
          <w:p w14:paraId="2BC9D91E">
            <w:pPr>
              <w:pageBreakBefore w:val="0"/>
              <w:kinsoku/>
              <w:wordWrap/>
              <w:overflowPunct/>
              <w:topLinePunct w:val="0"/>
              <w:bidi w:val="0"/>
              <w:adjustRightInd/>
              <w:spacing w:line="360" w:lineRule="auto"/>
              <w:jc w:val="center"/>
              <w:textAlignment w:val="auto"/>
              <w:rPr>
                <w:rFonts w:ascii="宋体" w:hAnsi="宋体" w:cs="宋体"/>
                <w:b w:val="0"/>
                <w:bCs/>
                <w:color w:val="auto"/>
                <w:sz w:val="21"/>
                <w:szCs w:val="21"/>
                <w:highlight w:val="none"/>
              </w:rPr>
            </w:pPr>
            <w:r>
              <w:rPr>
                <w:rFonts w:hint="eastAsia" w:ascii="宋体" w:hAnsi="宋体" w:cs="宋体"/>
                <w:b w:val="0"/>
                <w:bCs/>
                <w:color w:val="auto"/>
                <w:sz w:val="21"/>
                <w:szCs w:val="21"/>
                <w:highlight w:val="none"/>
              </w:rPr>
              <w:t>叶轮</w:t>
            </w:r>
          </w:p>
        </w:tc>
        <w:tc>
          <w:tcPr>
            <w:tcW w:w="5970" w:type="dxa"/>
            <w:vAlign w:val="center"/>
          </w:tcPr>
          <w:p w14:paraId="20A0F0B6">
            <w:pPr>
              <w:pageBreakBefore w:val="0"/>
              <w:kinsoku/>
              <w:wordWrap/>
              <w:overflowPunct/>
              <w:topLinePunct w:val="0"/>
              <w:bidi w:val="0"/>
              <w:adjustRightInd/>
              <w:spacing w:line="360" w:lineRule="auto"/>
              <w:jc w:val="center"/>
              <w:textAlignment w:val="auto"/>
              <w:rPr>
                <w:rFonts w:ascii="宋体" w:hAnsi="宋体" w:cs="宋体"/>
                <w:b w:val="0"/>
                <w:bCs/>
                <w:color w:val="auto"/>
                <w:sz w:val="21"/>
                <w:szCs w:val="21"/>
                <w:highlight w:val="none"/>
              </w:rPr>
            </w:pPr>
            <w:r>
              <w:rPr>
                <w:rFonts w:hint="eastAsia" w:ascii="宋体" w:hAnsi="宋体" w:cs="宋体"/>
                <w:b w:val="0"/>
                <w:bCs/>
                <w:color w:val="auto"/>
                <w:sz w:val="21"/>
                <w:szCs w:val="21"/>
                <w:highlight w:val="none"/>
              </w:rPr>
              <w:t>综合废水工艺段不低于316L，浓水工艺段不低于双相钢</w:t>
            </w:r>
          </w:p>
        </w:tc>
      </w:tr>
      <w:tr w14:paraId="49153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jc w:val="center"/>
        </w:trPr>
        <w:tc>
          <w:tcPr>
            <w:tcW w:w="3054" w:type="dxa"/>
            <w:vAlign w:val="center"/>
          </w:tcPr>
          <w:p w14:paraId="5BC15677">
            <w:pPr>
              <w:pageBreakBefore w:val="0"/>
              <w:kinsoku/>
              <w:wordWrap/>
              <w:overflowPunct/>
              <w:topLinePunct w:val="0"/>
              <w:bidi w:val="0"/>
              <w:adjustRightInd/>
              <w:spacing w:line="360" w:lineRule="auto"/>
              <w:jc w:val="center"/>
              <w:textAlignment w:val="auto"/>
              <w:rPr>
                <w:rFonts w:ascii="宋体" w:hAnsi="宋体" w:cs="宋体"/>
                <w:b w:val="0"/>
                <w:bCs/>
                <w:color w:val="auto"/>
                <w:sz w:val="21"/>
                <w:szCs w:val="21"/>
                <w:highlight w:val="none"/>
              </w:rPr>
            </w:pPr>
            <w:r>
              <w:rPr>
                <w:rFonts w:hint="eastAsia" w:ascii="宋体" w:hAnsi="宋体" w:cs="宋体"/>
                <w:b w:val="0"/>
                <w:bCs/>
                <w:color w:val="auto"/>
                <w:sz w:val="21"/>
                <w:szCs w:val="21"/>
                <w:highlight w:val="none"/>
              </w:rPr>
              <w:t>蜗壳</w:t>
            </w:r>
          </w:p>
        </w:tc>
        <w:tc>
          <w:tcPr>
            <w:tcW w:w="5970" w:type="dxa"/>
            <w:vAlign w:val="center"/>
          </w:tcPr>
          <w:p w14:paraId="51305C0C">
            <w:pPr>
              <w:pageBreakBefore w:val="0"/>
              <w:kinsoku/>
              <w:wordWrap/>
              <w:overflowPunct/>
              <w:topLinePunct w:val="0"/>
              <w:bidi w:val="0"/>
              <w:adjustRightInd/>
              <w:spacing w:line="360" w:lineRule="auto"/>
              <w:jc w:val="center"/>
              <w:textAlignment w:val="auto"/>
              <w:rPr>
                <w:rFonts w:ascii="宋体" w:hAnsi="宋体" w:cs="宋体"/>
                <w:b w:val="0"/>
                <w:bCs/>
                <w:color w:val="auto"/>
                <w:sz w:val="21"/>
                <w:szCs w:val="21"/>
                <w:highlight w:val="none"/>
              </w:rPr>
            </w:pPr>
            <w:r>
              <w:rPr>
                <w:rFonts w:hint="eastAsia" w:ascii="宋体" w:hAnsi="宋体" w:cs="宋体"/>
                <w:b w:val="0"/>
                <w:bCs/>
                <w:color w:val="auto"/>
                <w:sz w:val="21"/>
                <w:szCs w:val="21"/>
                <w:highlight w:val="none"/>
              </w:rPr>
              <w:t>综合废水工艺段不低于316L，浓水工艺段不低于双相钢</w:t>
            </w:r>
          </w:p>
        </w:tc>
      </w:tr>
      <w:tr w14:paraId="5849C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exact"/>
          <w:jc w:val="center"/>
        </w:trPr>
        <w:tc>
          <w:tcPr>
            <w:tcW w:w="3054" w:type="dxa"/>
            <w:vAlign w:val="center"/>
          </w:tcPr>
          <w:p w14:paraId="0F170077">
            <w:pPr>
              <w:pageBreakBefore w:val="0"/>
              <w:kinsoku/>
              <w:wordWrap/>
              <w:overflowPunct/>
              <w:topLinePunct w:val="0"/>
              <w:bidi w:val="0"/>
              <w:adjustRightInd/>
              <w:spacing w:line="360" w:lineRule="auto"/>
              <w:jc w:val="center"/>
              <w:textAlignment w:val="auto"/>
              <w:rPr>
                <w:rFonts w:ascii="宋体" w:hAnsi="宋体" w:cs="宋体"/>
                <w:b w:val="0"/>
                <w:bCs/>
                <w:color w:val="auto"/>
                <w:sz w:val="21"/>
                <w:szCs w:val="21"/>
                <w:highlight w:val="none"/>
              </w:rPr>
            </w:pPr>
            <w:r>
              <w:rPr>
                <w:rFonts w:hint="eastAsia" w:ascii="宋体" w:hAnsi="宋体" w:cs="宋体"/>
                <w:b w:val="0"/>
                <w:bCs/>
                <w:color w:val="auto"/>
                <w:sz w:val="21"/>
                <w:szCs w:val="21"/>
                <w:highlight w:val="none"/>
              </w:rPr>
              <w:t>导杆</w:t>
            </w:r>
          </w:p>
        </w:tc>
        <w:tc>
          <w:tcPr>
            <w:tcW w:w="5970" w:type="dxa"/>
            <w:vAlign w:val="center"/>
          </w:tcPr>
          <w:p w14:paraId="6328EEFA">
            <w:pPr>
              <w:pageBreakBefore w:val="0"/>
              <w:kinsoku/>
              <w:wordWrap/>
              <w:overflowPunct/>
              <w:topLinePunct w:val="0"/>
              <w:bidi w:val="0"/>
              <w:adjustRightInd/>
              <w:snapToGrid w:val="0"/>
              <w:spacing w:line="360" w:lineRule="auto"/>
              <w:jc w:val="center"/>
              <w:textAlignment w:val="auto"/>
              <w:rPr>
                <w:rFonts w:ascii="宋体" w:hAnsi="宋体" w:cs="宋体"/>
                <w:b w:val="0"/>
                <w:bCs/>
                <w:color w:val="auto"/>
                <w:sz w:val="21"/>
                <w:szCs w:val="21"/>
                <w:highlight w:val="none"/>
              </w:rPr>
            </w:pPr>
            <w:r>
              <w:rPr>
                <w:rFonts w:hint="eastAsia" w:ascii="宋体" w:hAnsi="宋体" w:cs="宋体"/>
                <w:b w:val="0"/>
                <w:bCs/>
                <w:color w:val="auto"/>
                <w:sz w:val="21"/>
                <w:szCs w:val="21"/>
                <w:highlight w:val="none"/>
              </w:rPr>
              <w:t>满足氯离子要求（淡水氯离子200~1500mg/L,浓水氯离子800~6000mg/L）</w:t>
            </w:r>
          </w:p>
        </w:tc>
      </w:tr>
      <w:tr w14:paraId="0BB04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exact"/>
          <w:jc w:val="center"/>
        </w:trPr>
        <w:tc>
          <w:tcPr>
            <w:tcW w:w="3054" w:type="dxa"/>
            <w:vAlign w:val="center"/>
          </w:tcPr>
          <w:p w14:paraId="3AC005E1">
            <w:pPr>
              <w:pageBreakBefore w:val="0"/>
              <w:kinsoku/>
              <w:wordWrap/>
              <w:overflowPunct/>
              <w:topLinePunct w:val="0"/>
              <w:bidi w:val="0"/>
              <w:adjustRightInd/>
              <w:spacing w:line="360" w:lineRule="auto"/>
              <w:jc w:val="center"/>
              <w:textAlignment w:val="auto"/>
              <w:rPr>
                <w:rFonts w:ascii="宋体" w:hAnsi="宋体" w:cs="宋体"/>
                <w:b w:val="0"/>
                <w:bCs/>
                <w:color w:val="auto"/>
                <w:sz w:val="21"/>
                <w:szCs w:val="21"/>
                <w:highlight w:val="none"/>
              </w:rPr>
            </w:pPr>
            <w:r>
              <w:rPr>
                <w:rFonts w:hint="eastAsia" w:ascii="宋体" w:hAnsi="宋体" w:cs="宋体"/>
                <w:b w:val="0"/>
                <w:bCs/>
                <w:color w:val="auto"/>
                <w:sz w:val="21"/>
                <w:szCs w:val="21"/>
                <w:highlight w:val="none"/>
              </w:rPr>
              <w:t>吊链及吊耳</w:t>
            </w:r>
          </w:p>
        </w:tc>
        <w:tc>
          <w:tcPr>
            <w:tcW w:w="5970" w:type="dxa"/>
            <w:vAlign w:val="center"/>
          </w:tcPr>
          <w:p w14:paraId="79F295BC">
            <w:pPr>
              <w:pageBreakBefore w:val="0"/>
              <w:kinsoku/>
              <w:wordWrap/>
              <w:overflowPunct/>
              <w:topLinePunct w:val="0"/>
              <w:bidi w:val="0"/>
              <w:adjustRightInd/>
              <w:snapToGrid w:val="0"/>
              <w:spacing w:line="360" w:lineRule="auto"/>
              <w:jc w:val="center"/>
              <w:textAlignment w:val="auto"/>
              <w:rPr>
                <w:rFonts w:ascii="宋体" w:hAnsi="宋体" w:cs="宋体"/>
                <w:b w:val="0"/>
                <w:bCs/>
                <w:color w:val="auto"/>
                <w:sz w:val="21"/>
                <w:szCs w:val="21"/>
                <w:highlight w:val="none"/>
              </w:rPr>
            </w:pPr>
            <w:r>
              <w:rPr>
                <w:rFonts w:hint="eastAsia" w:ascii="宋体" w:hAnsi="宋体" w:cs="宋体"/>
                <w:b w:val="0"/>
                <w:bCs/>
                <w:color w:val="auto"/>
                <w:sz w:val="21"/>
                <w:szCs w:val="21"/>
                <w:highlight w:val="none"/>
              </w:rPr>
              <w:t>满足氯离子要求（淡水氯离子200~1500mg/L,浓水氯离子800~6000mg/L）</w:t>
            </w:r>
          </w:p>
        </w:tc>
      </w:tr>
      <w:tr w14:paraId="6AA74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jc w:val="center"/>
        </w:trPr>
        <w:tc>
          <w:tcPr>
            <w:tcW w:w="3054" w:type="dxa"/>
            <w:vAlign w:val="center"/>
          </w:tcPr>
          <w:p w14:paraId="36363FB3">
            <w:pPr>
              <w:pageBreakBefore w:val="0"/>
              <w:kinsoku/>
              <w:wordWrap/>
              <w:overflowPunct/>
              <w:topLinePunct w:val="0"/>
              <w:bidi w:val="0"/>
              <w:adjustRightInd/>
              <w:spacing w:line="360" w:lineRule="auto"/>
              <w:jc w:val="center"/>
              <w:textAlignment w:val="auto"/>
              <w:rPr>
                <w:rFonts w:ascii="宋体" w:hAnsi="宋体" w:cs="宋体"/>
                <w:b w:val="0"/>
                <w:bCs/>
                <w:color w:val="auto"/>
                <w:sz w:val="21"/>
                <w:szCs w:val="21"/>
                <w:highlight w:val="none"/>
              </w:rPr>
            </w:pPr>
            <w:r>
              <w:rPr>
                <w:rFonts w:hint="eastAsia" w:ascii="宋体" w:hAnsi="宋体" w:cs="宋体"/>
                <w:b w:val="0"/>
                <w:bCs/>
                <w:color w:val="auto"/>
                <w:sz w:val="21"/>
                <w:szCs w:val="21"/>
                <w:highlight w:val="none"/>
              </w:rPr>
              <w:t>插筒、起吊架</w:t>
            </w:r>
          </w:p>
        </w:tc>
        <w:tc>
          <w:tcPr>
            <w:tcW w:w="5970" w:type="dxa"/>
            <w:vAlign w:val="center"/>
          </w:tcPr>
          <w:p w14:paraId="181071C1">
            <w:pPr>
              <w:pageBreakBefore w:val="0"/>
              <w:kinsoku/>
              <w:wordWrap/>
              <w:overflowPunct/>
              <w:topLinePunct w:val="0"/>
              <w:bidi w:val="0"/>
              <w:adjustRightInd/>
              <w:spacing w:line="360" w:lineRule="auto"/>
              <w:jc w:val="center"/>
              <w:textAlignment w:val="auto"/>
              <w:rPr>
                <w:rFonts w:ascii="宋体" w:hAnsi="宋体" w:cs="宋体"/>
                <w:b w:val="0"/>
                <w:bCs/>
                <w:color w:val="auto"/>
                <w:sz w:val="21"/>
                <w:szCs w:val="21"/>
                <w:highlight w:val="none"/>
              </w:rPr>
            </w:pPr>
            <w:r>
              <w:rPr>
                <w:rFonts w:hint="eastAsia" w:ascii="宋体" w:hAnsi="宋体" w:cs="宋体"/>
                <w:b w:val="0"/>
                <w:bCs/>
                <w:color w:val="auto"/>
                <w:sz w:val="21"/>
                <w:szCs w:val="21"/>
                <w:highlight w:val="none"/>
              </w:rPr>
              <w:t>304不锈钢或更优材质，壁厚不小于5mm</w:t>
            </w:r>
          </w:p>
        </w:tc>
      </w:tr>
      <w:tr w14:paraId="54943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jc w:val="center"/>
        </w:trPr>
        <w:tc>
          <w:tcPr>
            <w:tcW w:w="3054" w:type="dxa"/>
            <w:vAlign w:val="center"/>
          </w:tcPr>
          <w:p w14:paraId="76FB13B7">
            <w:pPr>
              <w:pageBreakBefore w:val="0"/>
              <w:kinsoku/>
              <w:wordWrap/>
              <w:overflowPunct/>
              <w:topLinePunct w:val="0"/>
              <w:bidi w:val="0"/>
              <w:adjustRightInd/>
              <w:spacing w:line="360" w:lineRule="auto"/>
              <w:jc w:val="center"/>
              <w:textAlignment w:val="auto"/>
              <w:rPr>
                <w:rFonts w:ascii="宋体" w:hAnsi="宋体" w:cs="宋体"/>
                <w:b w:val="0"/>
                <w:bCs/>
                <w:color w:val="auto"/>
                <w:sz w:val="21"/>
                <w:szCs w:val="21"/>
                <w:highlight w:val="none"/>
              </w:rPr>
            </w:pPr>
            <w:r>
              <w:rPr>
                <w:rFonts w:hint="eastAsia" w:ascii="宋体" w:hAnsi="宋体" w:cs="宋体"/>
                <w:b w:val="0"/>
                <w:bCs/>
                <w:color w:val="auto"/>
                <w:sz w:val="21"/>
                <w:szCs w:val="21"/>
                <w:highlight w:val="none"/>
              </w:rPr>
              <w:t>所有连接附件、螺栓、螺母</w:t>
            </w:r>
          </w:p>
        </w:tc>
        <w:tc>
          <w:tcPr>
            <w:tcW w:w="5970" w:type="dxa"/>
            <w:vAlign w:val="center"/>
          </w:tcPr>
          <w:p w14:paraId="3795604F">
            <w:pPr>
              <w:pageBreakBefore w:val="0"/>
              <w:kinsoku/>
              <w:wordWrap/>
              <w:overflowPunct/>
              <w:topLinePunct w:val="0"/>
              <w:bidi w:val="0"/>
              <w:adjustRightInd/>
              <w:spacing w:line="360" w:lineRule="auto"/>
              <w:jc w:val="center"/>
              <w:textAlignment w:val="auto"/>
              <w:rPr>
                <w:rFonts w:ascii="宋体" w:hAnsi="宋体" w:cs="宋体"/>
                <w:b w:val="0"/>
                <w:bCs/>
                <w:color w:val="auto"/>
                <w:sz w:val="21"/>
                <w:szCs w:val="21"/>
                <w:highlight w:val="none"/>
              </w:rPr>
            </w:pPr>
            <w:r>
              <w:rPr>
                <w:rFonts w:hint="eastAsia" w:ascii="宋体" w:hAnsi="宋体" w:cs="宋体"/>
                <w:b w:val="0"/>
                <w:bCs/>
                <w:color w:val="auto"/>
                <w:sz w:val="21"/>
                <w:szCs w:val="21"/>
                <w:highlight w:val="none"/>
              </w:rPr>
              <w:t>316不锈钢或更优材质，地脚螺栓为Q</w:t>
            </w:r>
            <w:r>
              <w:rPr>
                <w:rFonts w:ascii="宋体" w:hAnsi="宋体" w:cs="宋体"/>
                <w:b w:val="0"/>
                <w:bCs/>
                <w:color w:val="auto"/>
                <w:sz w:val="21"/>
                <w:szCs w:val="21"/>
                <w:highlight w:val="none"/>
              </w:rPr>
              <w:t>235</w:t>
            </w:r>
          </w:p>
        </w:tc>
      </w:tr>
    </w:tbl>
    <w:p w14:paraId="5DEBF6C5">
      <w:pPr>
        <w:keepNext/>
        <w:keepLines/>
        <w:pageBreakBefore w:val="0"/>
        <w:numPr>
          <w:ilvl w:val="2"/>
          <w:numId w:val="0"/>
        </w:numPr>
        <w:tabs>
          <w:tab w:val="left" w:pos="720"/>
        </w:tabs>
        <w:kinsoku/>
        <w:wordWrap/>
        <w:overflowPunct/>
        <w:topLinePunct w:val="0"/>
        <w:bidi w:val="0"/>
        <w:adjustRightInd/>
        <w:spacing w:before="156" w:after="156" w:afterLines="50" w:line="360" w:lineRule="auto"/>
        <w:textAlignment w:val="auto"/>
        <w:outlineLvl w:val="5"/>
        <w:rPr>
          <w:rFonts w:ascii="黑体" w:hAnsi="黑体" w:eastAsia="黑体" w:cs="黑体"/>
          <w:color w:val="auto"/>
          <w:sz w:val="21"/>
          <w:szCs w:val="21"/>
          <w:highlight w:val="none"/>
        </w:rPr>
      </w:pPr>
      <w:r>
        <w:rPr>
          <w:rFonts w:hint="eastAsia" w:ascii="黑体" w:hAnsi="黑体" w:eastAsia="黑体" w:cs="黑体"/>
          <w:color w:val="auto"/>
          <w:sz w:val="21"/>
          <w:szCs w:val="21"/>
          <w:highlight w:val="none"/>
          <w:lang w:val="en-US" w:eastAsia="zh-CN"/>
        </w:rPr>
        <w:t>2</w:t>
      </w:r>
      <w:r>
        <w:rPr>
          <w:rFonts w:hint="eastAsia" w:ascii="黑体" w:hAnsi="黑体" w:eastAsia="黑体" w:cs="黑体"/>
          <w:color w:val="auto"/>
          <w:sz w:val="21"/>
          <w:szCs w:val="21"/>
          <w:highlight w:val="none"/>
        </w:rPr>
        <w:t>.4管道泵结构及配置要求</w:t>
      </w:r>
    </w:p>
    <w:p w14:paraId="52FB5A1B">
      <w:pPr>
        <w:pageBreakBefore w:val="0"/>
        <w:numPr>
          <w:ilvl w:val="0"/>
          <w:numId w:val="8"/>
        </w:numPr>
        <w:kinsoku/>
        <w:wordWrap/>
        <w:overflowPunct/>
        <w:topLinePunct w:val="0"/>
        <w:bidi w:val="0"/>
        <w:adjustRightInd/>
        <w:spacing w:line="360" w:lineRule="auto"/>
        <w:ind w:left="0" w:firstLine="410" w:firstLineChars="200"/>
        <w:textAlignment w:val="auto"/>
        <w:rPr>
          <w:rFonts w:ascii="宋体" w:hAnsi="宋体" w:cs="宋体"/>
          <w:b/>
          <w:color w:val="auto"/>
          <w:spacing w:val="-3"/>
          <w:sz w:val="21"/>
          <w:szCs w:val="21"/>
          <w:highlight w:val="none"/>
          <w:lang w:val="en-GB"/>
        </w:rPr>
      </w:pPr>
      <w:r>
        <w:rPr>
          <w:rFonts w:hint="eastAsia" w:ascii="宋体" w:hAnsi="宋体" w:cs="宋体"/>
          <w:b/>
          <w:color w:val="auto"/>
          <w:spacing w:val="-3"/>
          <w:sz w:val="21"/>
          <w:szCs w:val="21"/>
          <w:highlight w:val="none"/>
          <w:lang w:val="en-GB"/>
        </w:rPr>
        <w:t>国际标准认证</w:t>
      </w:r>
    </w:p>
    <w:p w14:paraId="206271A7">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每台水泵都需要按照国家和国际标准包括但不限于IEC34-1, HI, CSA和ISO 9906测试和认证。</w:t>
      </w:r>
    </w:p>
    <w:p w14:paraId="42229D4F">
      <w:pPr>
        <w:pageBreakBefore w:val="0"/>
        <w:numPr>
          <w:ilvl w:val="0"/>
          <w:numId w:val="8"/>
        </w:numPr>
        <w:kinsoku/>
        <w:wordWrap/>
        <w:overflowPunct/>
        <w:topLinePunct w:val="0"/>
        <w:bidi w:val="0"/>
        <w:adjustRightInd/>
        <w:spacing w:line="360" w:lineRule="auto"/>
        <w:ind w:left="0" w:firstLine="410" w:firstLineChars="200"/>
        <w:textAlignment w:val="auto"/>
        <w:rPr>
          <w:rFonts w:ascii="宋体" w:hAnsi="宋体" w:cs="宋体"/>
          <w:b/>
          <w:color w:val="auto"/>
          <w:spacing w:val="-3"/>
          <w:sz w:val="21"/>
          <w:szCs w:val="21"/>
          <w:highlight w:val="none"/>
          <w:lang w:val="en-GB"/>
        </w:rPr>
      </w:pPr>
      <w:r>
        <w:rPr>
          <w:rFonts w:hint="eastAsia" w:ascii="宋体" w:hAnsi="宋体" w:cs="宋体"/>
          <w:b/>
          <w:color w:val="auto"/>
          <w:spacing w:val="-3"/>
          <w:sz w:val="21"/>
          <w:szCs w:val="21"/>
          <w:highlight w:val="none"/>
          <w:lang w:val="en-GB"/>
        </w:rPr>
        <w:t>性能保证</w:t>
      </w:r>
    </w:p>
    <w:p w14:paraId="04C95EC0">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工况点的保证应该按照ISO9906标准的规定。不可以按照已经淘汰的ISO 2548或者ISO 3555标准。</w:t>
      </w:r>
    </w:p>
    <w:p w14:paraId="27D763CC">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对于直连水泵，总效率（水力效率×电机效率）必须保证满足。（水力效率只能在不采购电机时采用）</w:t>
      </w:r>
    </w:p>
    <w:p w14:paraId="29D22932">
      <w:pPr>
        <w:pageBreakBefore w:val="0"/>
        <w:widowControl/>
        <w:numPr>
          <w:ilvl w:val="0"/>
          <w:numId w:val="8"/>
        </w:numPr>
        <w:kinsoku/>
        <w:wordWrap/>
        <w:overflowPunct/>
        <w:topLinePunct w:val="0"/>
        <w:autoSpaceDE w:val="0"/>
        <w:autoSpaceDN w:val="0"/>
        <w:bidi w:val="0"/>
        <w:adjustRightInd/>
        <w:spacing w:line="360" w:lineRule="auto"/>
        <w:ind w:left="0" w:firstLine="422" w:firstLineChars="200"/>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泵的设计</w:t>
      </w:r>
    </w:p>
    <w:p w14:paraId="081059C8">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泵应配备标准的干式安装底座，底座应通过化学螺栓与混凝土底面进行牢固连接,泵的所有重量完全由底座支撑。泵的进出口应配备标准法兰以与现场管道进行连接,法兰连接面可以O型环或垫圈等形式进行密封。</w:t>
      </w:r>
    </w:p>
    <w:p w14:paraId="09741530">
      <w:pPr>
        <w:pageBreakBefore w:val="0"/>
        <w:widowControl/>
        <w:numPr>
          <w:ilvl w:val="0"/>
          <w:numId w:val="8"/>
        </w:numPr>
        <w:kinsoku/>
        <w:wordWrap/>
        <w:overflowPunct/>
        <w:topLinePunct w:val="0"/>
        <w:autoSpaceDE w:val="0"/>
        <w:autoSpaceDN w:val="0"/>
        <w:bidi w:val="0"/>
        <w:adjustRightInd/>
        <w:spacing w:line="360" w:lineRule="auto"/>
        <w:ind w:left="0" w:firstLine="422" w:firstLineChars="200"/>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泵的构造</w:t>
      </w:r>
    </w:p>
    <w:p w14:paraId="25F3229A">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泵的主件材质应是ASTM A－48 35B 级（DIN 1691，GG25）灰口铸铁，其表面须平滑、无砂眼或其它铸造缺陷，所有外露的螺栓螺母均为 AISI304 不锈钢或更好。除不锈钢外，所有与泵送介质接触的金属表面应由水基底漆和两组涂层进行保护。</w:t>
      </w:r>
    </w:p>
    <w:p w14:paraId="12074155">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机械表面的密封是金属与金属接触，需要防水密封，泵/电机单元接合面应是机械加工的并嵌入腈或氟化橡胶O形环。</w:t>
      </w:r>
    </w:p>
    <w:p w14:paraId="33F74F95">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不能使用需要一定的扭力才能达到压紧效果，并且横截面矩形的橡胶、纸质或化学合成物的垫片。不能使用二次密封复合物，如椭圆形密封环、羊毛或其他装置。</w:t>
      </w:r>
    </w:p>
    <w:p w14:paraId="21FDB6E3">
      <w:pPr>
        <w:pageBreakBefore w:val="0"/>
        <w:widowControl/>
        <w:numPr>
          <w:ilvl w:val="0"/>
          <w:numId w:val="8"/>
        </w:numPr>
        <w:kinsoku/>
        <w:wordWrap/>
        <w:overflowPunct/>
        <w:topLinePunct w:val="0"/>
        <w:autoSpaceDE w:val="0"/>
        <w:autoSpaceDN w:val="0"/>
        <w:bidi w:val="0"/>
        <w:adjustRightInd/>
        <w:spacing w:line="360" w:lineRule="auto"/>
        <w:ind w:left="0" w:firstLine="422" w:firstLineChars="200"/>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蜗壳</w:t>
      </w:r>
    </w:p>
    <w:p w14:paraId="763C3DAE">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泵的蜗壳应是整件的灰口铸铁，35B级（DIN 1691，GG25），为偏心设计，有足够大的平滑流道以通过进入叶轮的颗粒。最小进口与出口尺寸如规定。</w:t>
      </w:r>
    </w:p>
    <w:p w14:paraId="32008E77">
      <w:pPr>
        <w:pageBreakBefore w:val="0"/>
        <w:widowControl/>
        <w:numPr>
          <w:ilvl w:val="0"/>
          <w:numId w:val="8"/>
        </w:numPr>
        <w:kinsoku/>
        <w:wordWrap/>
        <w:overflowPunct/>
        <w:topLinePunct w:val="0"/>
        <w:autoSpaceDE w:val="0"/>
        <w:autoSpaceDN w:val="0"/>
        <w:bidi w:val="0"/>
        <w:adjustRightInd/>
        <w:spacing w:line="360" w:lineRule="auto"/>
        <w:ind w:left="0" w:firstLine="422" w:firstLineChars="200"/>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冷却系统</w:t>
      </w:r>
    </w:p>
    <w:p w14:paraId="0527B3FD">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每台泵必须配备内置独立的冷却系统，靠外部介质或被泵送介质冷却的方式不予采用；其材质为铝 ASTM B 209;AA 1050A，冷却液为水合乙二醇。冷却系统应能让冷却液围绕电机进行不间断的充分的循环，以将电机产生的热量全部带走，并与被泵送介质进行热交换，这种冷却系统应能保证潜水泵在干式条件下连续不断的运行。</w:t>
      </w:r>
    </w:p>
    <w:p w14:paraId="218D43BA">
      <w:pPr>
        <w:pageBreakBefore w:val="0"/>
        <w:widowControl/>
        <w:numPr>
          <w:ilvl w:val="0"/>
          <w:numId w:val="8"/>
        </w:numPr>
        <w:kinsoku/>
        <w:wordWrap/>
        <w:overflowPunct/>
        <w:topLinePunct w:val="0"/>
        <w:autoSpaceDE w:val="0"/>
        <w:autoSpaceDN w:val="0"/>
        <w:bidi w:val="0"/>
        <w:adjustRightInd/>
        <w:spacing w:line="360" w:lineRule="auto"/>
        <w:ind w:left="0" w:firstLine="422" w:firstLineChars="200"/>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叶轮</w:t>
      </w:r>
    </w:p>
    <w:p w14:paraId="078F003A">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泵的叶轮应是35B等级（DIN1691，GG25）的灰口铸铁材质的、水力平衡的、无阻塞流道设计，其长流道无剧烈拐角。水泵叶轮按ISO1940 G6.3级进行动平衡，叶轮应经水力平衡。叶轮的直径在工厂经计算机计算选择，在出厂前叶轮已经切割至招标人实际需要的尺寸。叶轮应具有良好的耐磨性能，能处理固体、纤维材料、污泥和污水中其他的杂物。若有需要，制造厂商应提供惯性扭矩计算书，叶轮应键入泵轴，靠一个膨胀环卡住，叶轮应喷涂醇酸聚酯树脂涂层。</w:t>
      </w:r>
    </w:p>
    <w:p w14:paraId="0B97A958">
      <w:pPr>
        <w:pageBreakBefore w:val="0"/>
        <w:widowControl/>
        <w:numPr>
          <w:ilvl w:val="0"/>
          <w:numId w:val="8"/>
        </w:numPr>
        <w:kinsoku/>
        <w:wordWrap/>
        <w:overflowPunct/>
        <w:topLinePunct w:val="0"/>
        <w:autoSpaceDE w:val="0"/>
        <w:autoSpaceDN w:val="0"/>
        <w:bidi w:val="0"/>
        <w:adjustRightInd/>
        <w:spacing w:line="360" w:lineRule="auto"/>
        <w:ind w:left="0" w:firstLine="422" w:firstLineChars="200"/>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泵轴</w:t>
      </w:r>
    </w:p>
    <w:p w14:paraId="68DE4382">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泵和电机的轴应是连续无间断的轴，泵轴须是电机轴的延伸。耦连不能被接受。泵轴应是不锈钢AISI 431或以上材质，并完全与泵送液体隔离。</w:t>
      </w:r>
    </w:p>
    <w:p w14:paraId="5CCFE6F8">
      <w:pPr>
        <w:pageBreakBefore w:val="0"/>
        <w:widowControl/>
        <w:numPr>
          <w:ilvl w:val="0"/>
          <w:numId w:val="8"/>
        </w:numPr>
        <w:kinsoku/>
        <w:wordWrap/>
        <w:overflowPunct/>
        <w:topLinePunct w:val="0"/>
        <w:autoSpaceDE w:val="0"/>
        <w:autoSpaceDN w:val="0"/>
        <w:bidi w:val="0"/>
        <w:adjustRightInd/>
        <w:spacing w:line="360" w:lineRule="auto"/>
        <w:ind w:left="0" w:firstLine="422" w:firstLineChars="200"/>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机械密封</w:t>
      </w:r>
    </w:p>
    <w:p w14:paraId="24CD87A3">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机械密封的设计能有效地将水力部分与电机部分在泵送介质里隔离开来。</w:t>
      </w:r>
    </w:p>
    <w:p w14:paraId="689B7A71">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 xml:space="preserve">机械密封系统为一个带有密封泄漏腔（密封室内填充冷却液）的插入式双重密封系统。密封系统由带有一个静环和一个旋转密封的动环的外密封与内密封组成。机械密封材质为耐腐蚀烧结碳化钨。 </w:t>
      </w:r>
    </w:p>
    <w:p w14:paraId="74B0CC5C">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密封单元的设计能控制各个密封环――冷却液/空气或者冷却液/介质之间最小程度的泄漏。这一泄漏控制可以形成一个水力静态膜到对机械密封起到润滑作用。</w:t>
      </w:r>
    </w:p>
    <w:p w14:paraId="7D783B54">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泄漏会经由外密封进入到充满冷却液的密封室。任何经由内密封的泄漏会直接进入位于定子室与主轴承下方的检查室。在检查室中安装一个泄漏传感器用以监控液位水平，从而防止泄漏对电机造成威胁。检查室在设计上留有足够空间。</w:t>
      </w:r>
    </w:p>
    <w:p w14:paraId="414D33BF">
      <w:pPr>
        <w:pageBreakBefore w:val="0"/>
        <w:widowControl/>
        <w:numPr>
          <w:ilvl w:val="0"/>
          <w:numId w:val="8"/>
        </w:numPr>
        <w:kinsoku/>
        <w:wordWrap/>
        <w:overflowPunct/>
        <w:topLinePunct w:val="0"/>
        <w:autoSpaceDE w:val="0"/>
        <w:autoSpaceDN w:val="0"/>
        <w:bidi w:val="0"/>
        <w:adjustRightInd/>
        <w:spacing w:line="360" w:lineRule="auto"/>
        <w:ind w:left="0" w:firstLine="422" w:firstLineChars="200"/>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润滑油</w:t>
      </w:r>
    </w:p>
    <w:p w14:paraId="0B5D026D">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油室需注入符合FDA172.878卫生标准的白石蜡润滑油，不含芳香烃及按FDA172.878卫生标准处理。</w:t>
      </w:r>
    </w:p>
    <w:p w14:paraId="2ABBCE14">
      <w:pPr>
        <w:pageBreakBefore w:val="0"/>
        <w:widowControl/>
        <w:numPr>
          <w:ilvl w:val="0"/>
          <w:numId w:val="8"/>
        </w:numPr>
        <w:kinsoku/>
        <w:wordWrap/>
        <w:overflowPunct/>
        <w:topLinePunct w:val="0"/>
        <w:autoSpaceDE w:val="0"/>
        <w:autoSpaceDN w:val="0"/>
        <w:bidi w:val="0"/>
        <w:adjustRightInd/>
        <w:spacing w:line="360" w:lineRule="auto"/>
        <w:ind w:left="0" w:firstLine="422" w:firstLineChars="200"/>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轴承</w:t>
      </w:r>
    </w:p>
    <w:p w14:paraId="7F85BE32">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泵轴应在油脂润滑的轴承上转动。上轴承应当是一个单滚柱轴承用于承担径向力。下轴承至少包括一个滚柱轴承承担径向力及一个角触球轴承来承担轴向力。</w:t>
      </w:r>
    </w:p>
    <w:p w14:paraId="6F365E6C">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下轴承应包括一个独立的温度传感器 PT－100以监控轴承温度。如果温度过高，传感器应实施报警并停机。</w:t>
      </w:r>
    </w:p>
    <w:p w14:paraId="323F3CBA">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轴承在0.5Qn&lt;Qn&lt;1.25Qn范围内运行时（Qn为最佳工况点），轴承寿命应至少在50,000小时以上。</w:t>
      </w:r>
    </w:p>
    <w:p w14:paraId="6E059C70">
      <w:pPr>
        <w:pageBreakBefore w:val="0"/>
        <w:widowControl/>
        <w:numPr>
          <w:ilvl w:val="0"/>
          <w:numId w:val="8"/>
        </w:numPr>
        <w:kinsoku/>
        <w:wordWrap/>
        <w:overflowPunct/>
        <w:topLinePunct w:val="0"/>
        <w:autoSpaceDE w:val="0"/>
        <w:autoSpaceDN w:val="0"/>
        <w:bidi w:val="0"/>
        <w:adjustRightInd/>
        <w:spacing w:line="360" w:lineRule="auto"/>
        <w:ind w:left="0" w:firstLine="422" w:firstLineChars="200"/>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电机</w:t>
      </w:r>
    </w:p>
    <w:p w14:paraId="7BB5290C">
      <w:pPr>
        <w:pageBreakBefore w:val="0"/>
        <w:kinsoku/>
        <w:wordWrap/>
        <w:overflowPunct/>
        <w:topLinePunct w:val="0"/>
        <w:bidi w:val="0"/>
        <w:adjustRightInd/>
        <w:spacing w:line="360" w:lineRule="auto"/>
        <w:ind w:firstLine="422" w:firstLineChars="200"/>
        <w:textAlignment w:val="auto"/>
        <w:rPr>
          <w:rFonts w:ascii="宋体" w:hAnsi="宋体" w:cs="宋体"/>
          <w:b/>
          <w:color w:val="auto"/>
          <w:sz w:val="21"/>
          <w:szCs w:val="21"/>
          <w:highlight w:val="none"/>
        </w:rPr>
      </w:pPr>
      <w:r>
        <w:rPr>
          <w:rFonts w:hint="eastAsia" w:ascii="宋体" w:hAnsi="宋体" w:cs="宋体"/>
          <w:b/>
          <w:color w:val="auto"/>
          <w:sz w:val="21"/>
          <w:szCs w:val="21"/>
          <w:highlight w:val="none"/>
        </w:rPr>
        <w:t>采用高效低噪声电机，除符合国家相关标准外，还必须符合GB和IEC标准，要求电机能耗等级达到IE2及以上标准。</w:t>
      </w:r>
    </w:p>
    <w:p w14:paraId="6C86246A">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所有水泵的电机应是鼠笼式感应潜水电机，装在充气的防水的壳内。定子绕阻和定子进线的绝缘等级为 H级180℃。定子应通过滴注法绝缘，使得绕组满充率至少达到95%。定子应热压嵌入铸铁定子室中，不能接受采用需在定子壳上钻孔的螺栓、针和其他连接装置，电机应采用专为潜水泵设计并能连续泵送温度最高为 40℃ 的介质。电机应能每小时至少启动30 次。</w:t>
      </w:r>
    </w:p>
    <w:p w14:paraId="4D93E46C">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为监控每相绕阻上的温度，在每相定子进线线圈中应装有热敏开关，热敏开关的设定打开温度为140℃，关闭温度为95℃,可以与电机过载保护相连接。并接至控制柜，与控制柜连接。</w:t>
      </w:r>
    </w:p>
    <w:p w14:paraId="2BF7884C">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电机的允许电压波动为+/-10％，电机设计成在最高40℃（104F）环境下工作，并且定子绕阻的平均升温不超过80℃，应提供一份能显示转矩、电流、功率因素、输入/输出功率和效率的性能表。该性能表还应包含启动和零负荷特性的数据。</w:t>
      </w:r>
    </w:p>
    <w:p w14:paraId="3A75ABC8">
      <w:pPr>
        <w:pageBreakBefore w:val="0"/>
        <w:widowControl/>
        <w:numPr>
          <w:ilvl w:val="0"/>
          <w:numId w:val="8"/>
        </w:numPr>
        <w:kinsoku/>
        <w:wordWrap/>
        <w:overflowPunct/>
        <w:topLinePunct w:val="0"/>
        <w:autoSpaceDE w:val="0"/>
        <w:autoSpaceDN w:val="0"/>
        <w:bidi w:val="0"/>
        <w:adjustRightInd/>
        <w:spacing w:line="360" w:lineRule="auto"/>
        <w:ind w:left="0" w:firstLine="422" w:firstLineChars="200"/>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接线盒</w:t>
      </w:r>
    </w:p>
    <w:p w14:paraId="11CE66CB">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接线盒应包括两个截然分开的端子板。一个端子板用于连接监控进线和控制电缆，另一个端子板用于连接动力电缆和电机定子进线。动力接线板应是独立的并把接线盒与定子室密封隔开。</w:t>
      </w:r>
    </w:p>
    <w:p w14:paraId="5864C763">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不接受接线柱或弯曲连接器，电缆进线接线盒和电机由一个不吸潮的馈电接线板相隔离，以保证任何外部物质不能通过泵的顶部进入定子室。</w:t>
      </w:r>
    </w:p>
    <w:p w14:paraId="5EE43301">
      <w:pPr>
        <w:pageBreakBefore w:val="0"/>
        <w:widowControl/>
        <w:numPr>
          <w:ilvl w:val="0"/>
          <w:numId w:val="8"/>
        </w:numPr>
        <w:kinsoku/>
        <w:wordWrap/>
        <w:overflowPunct/>
        <w:topLinePunct w:val="0"/>
        <w:autoSpaceDE w:val="0"/>
        <w:autoSpaceDN w:val="0"/>
        <w:bidi w:val="0"/>
        <w:adjustRightInd/>
        <w:spacing w:line="360" w:lineRule="auto"/>
        <w:ind w:left="0" w:firstLine="422" w:firstLineChars="200"/>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动力和监控电缆</w:t>
      </w:r>
    </w:p>
    <w:p w14:paraId="3A88ADFD">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动力电缆的尺寸应符合IEC标准并提供足够的长度以接入接线盒且不需拼接，电缆外护套应是低吸收性的防油氯丁橡胶，并且机械柔性能承受电缆进线处的压力，电机和电缆至少应能在水下20米处连续使用而不失去其防水性能。</w:t>
      </w:r>
    </w:p>
    <w:p w14:paraId="5020F75A">
      <w:pPr>
        <w:pageBreakBefore w:val="0"/>
        <w:widowControl/>
        <w:numPr>
          <w:ilvl w:val="0"/>
          <w:numId w:val="8"/>
        </w:numPr>
        <w:kinsoku/>
        <w:wordWrap/>
        <w:overflowPunct/>
        <w:topLinePunct w:val="0"/>
        <w:autoSpaceDE w:val="0"/>
        <w:autoSpaceDN w:val="0"/>
        <w:bidi w:val="0"/>
        <w:adjustRightInd/>
        <w:spacing w:line="360" w:lineRule="auto"/>
        <w:ind w:left="0" w:firstLine="422" w:firstLineChars="200"/>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电缆进线密封</w:t>
      </w:r>
    </w:p>
    <w:p w14:paraId="0A3898A6">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电缆进线密封设计应能消除一定的扭矩以形成一个防水的潜水密封。电缆进线应包括一个柱形高弹性衬套，两边有垫圈，都与电缆和电缆进线紧密结合，电缆进线挤压衬套以达到一个出口冒气功能，该密封应保证电缆更换方便。不能用环氧、硅胶或其他二次密封系统进行密封。</w:t>
      </w:r>
    </w:p>
    <w:p w14:paraId="7E71EBFC">
      <w:pPr>
        <w:pageBreakBefore w:val="0"/>
        <w:widowControl/>
        <w:numPr>
          <w:ilvl w:val="0"/>
          <w:numId w:val="8"/>
        </w:numPr>
        <w:kinsoku/>
        <w:wordWrap/>
        <w:overflowPunct/>
        <w:topLinePunct w:val="0"/>
        <w:autoSpaceDE w:val="0"/>
        <w:autoSpaceDN w:val="0"/>
        <w:bidi w:val="0"/>
        <w:adjustRightInd/>
        <w:spacing w:line="360" w:lineRule="auto"/>
        <w:ind w:left="0" w:firstLine="422" w:firstLineChars="200"/>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保护</w:t>
      </w:r>
    </w:p>
    <w:p w14:paraId="0B389D1E">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热敏开关：所有定子装有三个串联的、常闭的热敏开关以监测每相绕组的温度。如果温度过高，热敏开关在1250C时跳开，以关闭电机并发出报警信号</w:t>
      </w:r>
    </w:p>
    <w:p w14:paraId="715AC659">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泄漏传感器：泄漏传感器是一个小浮子开关以监测检查室的泄漏液体状况。一旦出现情况，能及时报警和关闭电机。</w:t>
      </w:r>
    </w:p>
    <w:p w14:paraId="519A06AC">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故障报警显示器，安装在控制柜里。</w:t>
      </w:r>
    </w:p>
    <w:p w14:paraId="0226D0AC">
      <w:pPr>
        <w:pageBreakBefore w:val="0"/>
        <w:numPr>
          <w:ilvl w:val="255"/>
          <w:numId w:val="0"/>
        </w:numPr>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同时投标单位需充分考虑水质水量情况，在需满足系统运行要求下可对潜水搅拌器的材质及相关技术参数进行优化，但不得低于此文件标准。</w:t>
      </w:r>
    </w:p>
    <w:p w14:paraId="4A4DEC29">
      <w:pPr>
        <w:keepNext/>
        <w:keepLines/>
        <w:pageBreakBefore w:val="0"/>
        <w:kinsoku/>
        <w:wordWrap/>
        <w:overflowPunct/>
        <w:topLinePunct w:val="0"/>
        <w:bidi w:val="0"/>
        <w:adjustRightInd/>
        <w:spacing w:before="280" w:line="360" w:lineRule="auto"/>
        <w:jc w:val="left"/>
        <w:textAlignment w:val="auto"/>
        <w:outlineLvl w:val="4"/>
        <w:rPr>
          <w:rFonts w:ascii="黑体" w:hAnsi="黑体" w:eastAsia="黑体" w:cs="黑体"/>
          <w:color w:val="auto"/>
          <w:sz w:val="21"/>
          <w:szCs w:val="21"/>
          <w:highlight w:val="none"/>
        </w:rPr>
      </w:pPr>
      <w:r>
        <w:rPr>
          <w:rFonts w:hint="eastAsia" w:ascii="黑体" w:hAnsi="黑体" w:eastAsia="黑体" w:cs="黑体"/>
          <w:color w:val="auto"/>
          <w:sz w:val="21"/>
          <w:szCs w:val="21"/>
          <w:highlight w:val="none"/>
          <w:lang w:val="en-US" w:eastAsia="zh-CN"/>
        </w:rPr>
        <w:t>2.5</w:t>
      </w:r>
      <w:r>
        <w:rPr>
          <w:rFonts w:ascii="黑体" w:hAnsi="黑体" w:eastAsia="黑体" w:cs="黑体"/>
          <w:color w:val="auto"/>
          <w:sz w:val="21"/>
          <w:szCs w:val="21"/>
          <w:highlight w:val="none"/>
        </w:rPr>
        <w:t>电气及自控要求</w:t>
      </w:r>
    </w:p>
    <w:p w14:paraId="6DC96EFC">
      <w:pPr>
        <w:pageBreakBefore w:val="0"/>
        <w:kinsoku/>
        <w:wordWrap/>
        <w:overflowPunct/>
        <w:topLinePunct w:val="0"/>
        <w:bidi w:val="0"/>
        <w:adjustRightIn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投标单位的设备报价中需包含设备配套附件（配套电缆（均暂定</w:t>
      </w:r>
      <w:r>
        <w:rPr>
          <w:rFonts w:hint="eastAsia" w:cs="宋体"/>
          <w:color w:val="auto"/>
          <w:sz w:val="21"/>
          <w:szCs w:val="21"/>
          <w:highlight w:val="none"/>
          <w:lang w:val="en-US" w:eastAsia="zh-CN"/>
        </w:rPr>
        <w:t>2</w:t>
      </w:r>
      <w:r>
        <w:rPr>
          <w:rFonts w:hint="eastAsia" w:ascii="宋体" w:hAnsi="宋体" w:cs="宋体"/>
          <w:color w:val="auto"/>
          <w:sz w:val="21"/>
          <w:szCs w:val="21"/>
          <w:highlight w:val="none"/>
        </w:rPr>
        <w:t>0m）、最终配套电缆长度须满足现场安装要求。底座、导杆、起吊装置等），不含就地控制柜报价。电缆不允许有中间接头。</w:t>
      </w:r>
    </w:p>
    <w:p w14:paraId="0A1604A8">
      <w:pPr>
        <w:keepNext/>
        <w:keepLines/>
        <w:pageBreakBefore w:val="0"/>
        <w:kinsoku/>
        <w:wordWrap/>
        <w:overflowPunct/>
        <w:topLinePunct w:val="0"/>
        <w:bidi w:val="0"/>
        <w:adjustRightInd/>
        <w:spacing w:before="280" w:line="360" w:lineRule="auto"/>
        <w:jc w:val="left"/>
        <w:textAlignment w:val="auto"/>
        <w:outlineLvl w:val="4"/>
        <w:rPr>
          <w:rFonts w:ascii="黑体" w:hAnsi="黑体" w:eastAsia="黑体" w:cs="黑体"/>
          <w:color w:val="auto"/>
          <w:sz w:val="21"/>
          <w:szCs w:val="21"/>
          <w:highlight w:val="none"/>
        </w:rPr>
      </w:pPr>
      <w:r>
        <w:rPr>
          <w:rFonts w:hint="eastAsia" w:ascii="黑体" w:hAnsi="黑体" w:eastAsia="黑体" w:cs="黑体"/>
          <w:color w:val="auto"/>
          <w:sz w:val="21"/>
          <w:szCs w:val="21"/>
          <w:highlight w:val="none"/>
          <w:lang w:val="en-US" w:eastAsia="zh-CN"/>
        </w:rPr>
        <w:t>2.6</w:t>
      </w:r>
      <w:r>
        <w:rPr>
          <w:rFonts w:hint="eastAsia" w:ascii="黑体" w:hAnsi="黑体" w:eastAsia="黑体" w:cs="黑体"/>
          <w:color w:val="auto"/>
          <w:sz w:val="21"/>
          <w:szCs w:val="21"/>
          <w:highlight w:val="none"/>
        </w:rPr>
        <w:t>其它要求</w:t>
      </w:r>
    </w:p>
    <w:p w14:paraId="30EDB74D">
      <w:pPr>
        <w:pageBreakBefore w:val="0"/>
        <w:kinsoku/>
        <w:wordWrap/>
        <w:overflowPunct/>
        <w:topLinePunct w:val="0"/>
        <w:bidi w:val="0"/>
        <w:adjustRightInd/>
        <w:spacing w:line="360" w:lineRule="auto"/>
        <w:textAlignment w:val="auto"/>
        <w:rPr>
          <w:color w:val="auto"/>
          <w:sz w:val="21"/>
          <w:szCs w:val="21"/>
          <w:highlight w:val="none"/>
        </w:rPr>
      </w:pPr>
      <w:r>
        <w:rPr>
          <w:rFonts w:hint="eastAsia"/>
          <w:color w:val="auto"/>
          <w:sz w:val="21"/>
          <w:szCs w:val="21"/>
          <w:highlight w:val="none"/>
        </w:rPr>
        <w:t xml:space="preserve">    集水中坑中的潜污泵厂家需配套对应的液位计。</w:t>
      </w:r>
    </w:p>
    <w:p w14:paraId="0181DEEA">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p>
    <w:p w14:paraId="6313836F">
      <w:pPr>
        <w:numPr>
          <w:ilvl w:val="0"/>
          <w:numId w:val="0"/>
        </w:numPr>
        <w:spacing w:beforeLines="-2147483648" w:line="360" w:lineRule="auto"/>
        <w:ind w:left="0" w:leftChars="0" w:firstLine="0" w:firstLineChars="0"/>
        <w:jc w:val="left"/>
        <w:outlineLvl w:val="2"/>
        <w:rPr>
          <w:rFonts w:hint="eastAsia" w:ascii="宋体" w:hAnsi="宋体" w:eastAsia="宋体" w:cs="宋体"/>
          <w:b/>
          <w:bCs w:val="0"/>
          <w:color w:val="auto"/>
          <w:szCs w:val="21"/>
          <w:highlight w:val="none"/>
          <w:lang w:val="en-US" w:eastAsia="zh-CN"/>
        </w:rPr>
      </w:pPr>
      <w:r>
        <w:rPr>
          <w:rFonts w:hint="eastAsia" w:ascii="宋体" w:hAnsi="宋体" w:eastAsia="宋体" w:cs="宋体"/>
          <w:b/>
          <w:bCs w:val="0"/>
          <w:color w:val="auto"/>
          <w:szCs w:val="21"/>
          <w:highlight w:val="none"/>
          <w:lang w:val="en-US" w:eastAsia="zh-CN"/>
        </w:rPr>
        <w:t>三、设备一般要求</w:t>
      </w:r>
    </w:p>
    <w:p w14:paraId="577F1790">
      <w:pPr>
        <w:ind w:firstLine="422" w:firstLineChars="200"/>
        <w:outlineLvl w:val="3"/>
        <w:rPr>
          <w:rFonts w:hint="eastAsia" w:ascii="宋体" w:hAnsi="宋体" w:eastAsia="宋体" w:cs="宋体"/>
          <w:b/>
          <w:bCs/>
          <w:color w:val="auto"/>
          <w:sz w:val="21"/>
          <w:szCs w:val="21"/>
          <w:highlight w:val="none"/>
        </w:rPr>
      </w:pPr>
      <w:bookmarkStart w:id="0" w:name="_Toc347476353"/>
      <w:r>
        <w:rPr>
          <w:rFonts w:hint="eastAsia" w:ascii="宋体" w:hAnsi="宋体" w:eastAsia="宋体" w:cs="宋体"/>
          <w:b/>
          <w:bCs/>
          <w:color w:val="auto"/>
          <w:sz w:val="21"/>
          <w:szCs w:val="21"/>
          <w:highlight w:val="none"/>
          <w:lang w:val="en-US" w:eastAsia="zh-CN"/>
        </w:rPr>
        <w:t>（一）标准规范</w:t>
      </w:r>
    </w:p>
    <w:p w14:paraId="7D535809">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bookmarkStart w:id="1" w:name="_Toc16878035"/>
      <w:bookmarkStart w:id="2" w:name="_Toc16948201"/>
      <w:r>
        <w:rPr>
          <w:rFonts w:hint="eastAsia" w:ascii="宋体" w:hAnsi="宋体" w:eastAsia="宋体" w:cs="宋体"/>
          <w:color w:val="auto"/>
          <w:szCs w:val="21"/>
          <w:highlight w:val="none"/>
          <w:lang w:eastAsia="zh-CN"/>
        </w:rPr>
        <w:t>制造检验标准</w:t>
      </w:r>
    </w:p>
    <w:p w14:paraId="543972DE">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本投标所提供的设备均采用国际单位制（SI）。</w:t>
      </w:r>
    </w:p>
    <w:p w14:paraId="2F37FD04">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设备与管道接口、设备与设备的接口尺寸符合国际标准化组织（ISO）标准，电器设备的连接方式及规格均符合国际电工委员会（IEC）标准。 </w:t>
      </w:r>
    </w:p>
    <w:p w14:paraId="3E9A4185">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本投标设备所有的零部件及设备的设计、制造、安装、验收符合下述有关国家标准：中国、日本、德国、美国、英国等生产国的：ISO、IEC、EN、GB、GBJ、BJG、HG、JB、JC、TJ、YB、BS、CP、ASTM、DIN、JIS、AGMA、ASME等权威国家标准。</w:t>
      </w:r>
    </w:p>
    <w:p w14:paraId="0AECEE55">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本投标设备还符合下述相关的通用的标准：</w:t>
      </w:r>
    </w:p>
    <w:p w14:paraId="753ACEEA">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GB1800-1804      公差配合标准</w:t>
      </w:r>
    </w:p>
    <w:p w14:paraId="218FD334">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GB1180-1184-96   形状和位置公差标准</w:t>
      </w:r>
    </w:p>
    <w:p w14:paraId="3352054B">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GB5676-88        一般工程用铸造碳钢 </w:t>
      </w:r>
    </w:p>
    <w:p w14:paraId="510BE0F1">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GB699-88         优质碳素结构钢技术条件</w:t>
      </w:r>
    </w:p>
    <w:p w14:paraId="612D4570">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GB986            《埋弧焊焊缝坡口的基本型式与尺寸》</w:t>
      </w:r>
    </w:p>
    <w:p w14:paraId="32FF76BD">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GB2649-2656-81   《焊接接头各种要求试验方法》</w:t>
      </w:r>
    </w:p>
    <w:p w14:paraId="34F3FC40">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GB3323-87        《用X射线检查焊缝特征》</w:t>
      </w:r>
    </w:p>
    <w:p w14:paraId="519BAEFE">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GB11345-89       《用超声波检查焊缝特征》</w:t>
      </w:r>
    </w:p>
    <w:p w14:paraId="4AB7B953">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JB/ZQ4000-86      焊接结构尺寸公差与行位公差</w:t>
      </w:r>
    </w:p>
    <w:p w14:paraId="2904444A">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GB/T12467-90      焊接件通用技术条件</w:t>
      </w:r>
    </w:p>
    <w:p w14:paraId="4B11C4B1">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GB/T12469-1990   焊接质量保证钢熔性焊接头的要求和缺陷分级</w:t>
      </w:r>
    </w:p>
    <w:p w14:paraId="4FE7DEA4">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ZBJ77002-88       离心机、分离机锻焊件常规无损探伤技术规范</w:t>
      </w:r>
    </w:p>
    <w:p w14:paraId="05C5B7A6">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GB3323            钢溶化焊对接接头射线照相和质量分级</w:t>
      </w:r>
    </w:p>
    <w:p w14:paraId="0C9E8A2C">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JB1152            锅炉和钢制压力容器对接焊缝超声波探伤</w:t>
      </w:r>
    </w:p>
    <w:p w14:paraId="7470DCE7">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GB5117           碳钢焊条</w:t>
      </w:r>
    </w:p>
    <w:p w14:paraId="37FBE9BB">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GB5118           低合金钢焊条</w:t>
      </w:r>
    </w:p>
    <w:p w14:paraId="76F397A0">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GB981            低碳钢及低合金高强度钢焊条</w:t>
      </w:r>
    </w:p>
    <w:p w14:paraId="57A51938">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GB983            不锈钢焊条</w:t>
      </w:r>
    </w:p>
    <w:p w14:paraId="6D5540A3">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GB5293           碳素钢埋弧焊用焊剂</w:t>
      </w:r>
    </w:p>
    <w:p w14:paraId="3DC85535">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JB/T7217-1984    分离机械涂装通用技术条件</w:t>
      </w:r>
    </w:p>
    <w:p w14:paraId="2B741865">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JB/T6418-1992    分离机械清洁度测定方法</w:t>
      </w:r>
    </w:p>
    <w:p w14:paraId="6127BDD6">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GB8923           涂漆前钢材表面锈蚀等级和除锈等级</w:t>
      </w:r>
    </w:p>
    <w:p w14:paraId="0844CDB5">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GB191-2000       包装储运图示标志</w:t>
      </w:r>
    </w:p>
    <w:p w14:paraId="1BEEB28C">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GB/T13306（JB8） 产品标牌</w:t>
      </w:r>
    </w:p>
    <w:p w14:paraId="0149B775">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GB/T13384-1992   机械产品包装通用技术条件</w:t>
      </w:r>
      <w:bookmarkEnd w:id="1"/>
      <w:bookmarkEnd w:id="2"/>
    </w:p>
    <w:p w14:paraId="11F603AE">
      <w:pPr>
        <w:pageBreakBefore w:val="0"/>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注：如有标准更替，以最新版本为准。</w:t>
      </w:r>
    </w:p>
    <w:p w14:paraId="3232B368">
      <w:pPr>
        <w:ind w:firstLine="422" w:firstLineChars="200"/>
        <w:outlineLvl w:val="3"/>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val="en-US" w:eastAsia="zh-CN"/>
        </w:rPr>
        <w:t>（二）</w:t>
      </w:r>
      <w:r>
        <w:rPr>
          <w:rFonts w:hint="eastAsia" w:ascii="宋体" w:hAnsi="宋体" w:eastAsia="宋体" w:cs="宋体"/>
          <w:b/>
          <w:bCs/>
          <w:color w:val="auto"/>
          <w:highlight w:val="none"/>
          <w:lang w:eastAsia="zh-CN"/>
        </w:rPr>
        <w:t>机械设备</w:t>
      </w:r>
    </w:p>
    <w:p w14:paraId="374E20C4">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bookmarkStart w:id="3" w:name="_Toc79757573"/>
      <w:r>
        <w:rPr>
          <w:rFonts w:hint="eastAsia" w:ascii="宋体" w:hAnsi="宋体" w:eastAsia="宋体" w:cs="宋体"/>
          <w:color w:val="auto"/>
          <w:szCs w:val="21"/>
          <w:highlight w:val="none"/>
          <w:lang w:eastAsia="zh-CN"/>
        </w:rPr>
        <w:t>1、制造技术与材料</w:t>
      </w:r>
      <w:bookmarkEnd w:id="3"/>
    </w:p>
    <w:p w14:paraId="5AD542F8">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投标人提供的所有设备及材料必须是全新的、先进的、从未使用过的。材质和设计加工方面无任何缺陷，且耗能低，使用寿命长，维修量低。 </w:t>
      </w:r>
    </w:p>
    <w:p w14:paraId="098F769A">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所有设备必须依据最新、最佳的技术和工艺进行设计、制造与装配等工作。技术性能满足工厂的正常安全运行。设备的各部分零件应按标准的尺寸和规格制造，相同的零件应能互相更替。 </w:t>
      </w:r>
    </w:p>
    <w:p w14:paraId="50D8B7F0">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材质应适合各种操作情况，选择金属材料要考虑其强度、延伸性及耐用性。铸铁应结构致密，不得有气孔、缺陷和龟裂；承受应力的锻件应是细质的、均匀的。 </w:t>
      </w:r>
    </w:p>
    <w:p w14:paraId="3C4E353C">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bookmarkStart w:id="4" w:name="_Toc79757574"/>
      <w:r>
        <w:rPr>
          <w:rFonts w:hint="eastAsia" w:ascii="宋体" w:hAnsi="宋体" w:eastAsia="宋体" w:cs="宋体"/>
          <w:color w:val="auto"/>
          <w:szCs w:val="21"/>
          <w:highlight w:val="none"/>
          <w:lang w:eastAsia="zh-CN"/>
        </w:rPr>
        <w:t>2、安全防护</w:t>
      </w:r>
      <w:bookmarkEnd w:id="4"/>
    </w:p>
    <w:p w14:paraId="4BA03A6C">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(1） 安全防护应为制造厂标准产品或电镀、镀锌金属片制造；每一防护设备应易于安装与拆卸，并须附有所需的支撑及附件；户外安全防护设备须能防止雨水溅入。 </w:t>
      </w:r>
    </w:p>
    <w:p w14:paraId="09769071">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（2）表面有油漆者，应能防止冲击、磨损、褪色或其他损坏。 </w:t>
      </w:r>
    </w:p>
    <w:p w14:paraId="7EF5B870">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bookmarkStart w:id="5" w:name="_Toc79757575"/>
      <w:r>
        <w:rPr>
          <w:rFonts w:hint="eastAsia" w:ascii="宋体" w:hAnsi="宋体" w:eastAsia="宋体" w:cs="宋体"/>
          <w:color w:val="auto"/>
          <w:szCs w:val="21"/>
          <w:highlight w:val="none"/>
          <w:lang w:eastAsia="zh-CN"/>
        </w:rPr>
        <w:t>3、紧固件</w:t>
      </w:r>
      <w:bookmarkEnd w:id="5"/>
    </w:p>
    <w:p w14:paraId="1A8CF7F3">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投标人提供设备安装所需要的紧固件（包括常规使用的螺栓、螺帽和垫圈），紧固件的材质除特别注明不锈钢外，均采用8.8级碳钢镀锌材质。如需采用化学螺栓，投标人必须免费提供所需的化学粘接剂以及安装所需的特殊工具。 </w:t>
      </w:r>
    </w:p>
    <w:p w14:paraId="378B4827">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bookmarkStart w:id="6" w:name="_Toc79757576"/>
      <w:r>
        <w:rPr>
          <w:rFonts w:hint="eastAsia" w:ascii="宋体" w:hAnsi="宋体" w:eastAsia="宋体" w:cs="宋体"/>
          <w:color w:val="auto"/>
          <w:szCs w:val="21"/>
          <w:highlight w:val="none"/>
          <w:lang w:eastAsia="zh-CN"/>
        </w:rPr>
        <w:t>4、特殊工具与附属设备</w:t>
      </w:r>
      <w:bookmarkEnd w:id="6"/>
    </w:p>
    <w:p w14:paraId="43E30A49">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投标人必须提供机械设备周期性维修与调整所需的特殊工具、仪表以及维护所需的附属设备。 </w:t>
      </w:r>
    </w:p>
    <w:p w14:paraId="1530ECCD">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bookmarkStart w:id="7" w:name="_Toc79757577"/>
      <w:r>
        <w:rPr>
          <w:rFonts w:hint="eastAsia" w:ascii="宋体" w:hAnsi="宋体" w:eastAsia="宋体" w:cs="宋体"/>
          <w:color w:val="auto"/>
          <w:szCs w:val="21"/>
          <w:highlight w:val="none"/>
          <w:lang w:eastAsia="zh-CN"/>
        </w:rPr>
        <w:t>5、铭牌与标志</w:t>
      </w:r>
      <w:bookmarkEnd w:id="7"/>
    </w:p>
    <w:p w14:paraId="087CBD54">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设备的铭牌应当刻在或贴在金属片上，并紧固在设备外壳上，安装好后能清楚地看到。铭牌上写下述内容： </w:t>
      </w:r>
    </w:p>
    <w:p w14:paraId="17B25BFC">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(1）制造厂名称。 </w:t>
      </w:r>
    </w:p>
    <w:p w14:paraId="4F7AB6DE">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(2）设备的机型及其规格、性能参数指标等。 </w:t>
      </w:r>
    </w:p>
    <w:p w14:paraId="149164C7">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(3）序列号。 </w:t>
      </w:r>
    </w:p>
    <w:p w14:paraId="3D93477A">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(4）出厂年月。 </w:t>
      </w:r>
    </w:p>
    <w:p w14:paraId="6AD73C75">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bookmarkStart w:id="8" w:name="_Toc79757578"/>
      <w:r>
        <w:rPr>
          <w:rFonts w:hint="eastAsia" w:ascii="宋体" w:hAnsi="宋体" w:eastAsia="宋体" w:cs="宋体"/>
          <w:color w:val="auto"/>
          <w:szCs w:val="21"/>
          <w:highlight w:val="none"/>
          <w:lang w:eastAsia="zh-CN"/>
        </w:rPr>
        <w:t>6、润滑</w:t>
      </w:r>
      <w:bookmarkEnd w:id="8"/>
    </w:p>
    <w:p w14:paraId="01A8D4D3">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(1）投标人应说明机械设备的润滑方式、润滑剂成份以及每年所需的润滑剂量，并建议润滑时间。</w:t>
      </w:r>
    </w:p>
    <w:p w14:paraId="771906B5">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(2）机械设备在调试期间，润滑装置及润滑油量应确保设备正常工作。 </w:t>
      </w:r>
    </w:p>
    <w:p w14:paraId="41F76D33">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bookmarkStart w:id="9" w:name="_Toc79757579"/>
      <w:r>
        <w:rPr>
          <w:rFonts w:hint="eastAsia" w:ascii="宋体" w:hAnsi="宋体" w:eastAsia="宋体" w:cs="宋体"/>
          <w:color w:val="auto"/>
          <w:szCs w:val="21"/>
          <w:highlight w:val="none"/>
          <w:lang w:eastAsia="zh-CN"/>
        </w:rPr>
        <w:t>7、防潮措施</w:t>
      </w:r>
      <w:bookmarkEnd w:id="9"/>
    </w:p>
    <w:p w14:paraId="763E3496">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应该采取特别的预防措施，防止由于潮气、降雨和湿气而造成的腐蚀。 </w:t>
      </w:r>
    </w:p>
    <w:p w14:paraId="000A58B9">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所有安装在墙壁上的设备，都应该装有隔离挡板，以提供最小5mm的间隙。设备上所有的空洞，都应有效的密封，以防止水的进入。所有暴露在空气中或水中的部件，均不得有集水装置，必要时应提供排水孔， 防止积水。 </w:t>
      </w:r>
    </w:p>
    <w:p w14:paraId="6956CF98">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bookmarkStart w:id="10" w:name="_Toc79757580"/>
      <w:r>
        <w:rPr>
          <w:rFonts w:hint="eastAsia" w:ascii="宋体" w:hAnsi="宋体" w:eastAsia="宋体" w:cs="宋体"/>
          <w:color w:val="auto"/>
          <w:szCs w:val="21"/>
          <w:highlight w:val="none"/>
          <w:lang w:eastAsia="zh-CN"/>
        </w:rPr>
        <w:t>8、材料的防腐蚀</w:t>
      </w:r>
      <w:bookmarkEnd w:id="10"/>
    </w:p>
    <w:p w14:paraId="4CD0A511">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设备中所有在污水下运行的部件，或在污水、有毒有害气体界面中的部件，或那些与化学品直接接触的所有部件，应具有抗腐蚀性和抗侵蚀性能。上述部件如在保证期间内出现腐蚀的迹象应由投标人将其更换成具有防腐性能的、合格的防锈材料，以满足长期使用的要求。 </w:t>
      </w:r>
    </w:p>
    <w:p w14:paraId="540A68E2">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投标人应特别注意由于不同种类金属的紧密连接面引起的锈蚀问题，应防止此类问题发生。当必须使用不同类金属相接触时，应使电化势序不大于0.5mV。 </w:t>
      </w:r>
    </w:p>
    <w:p w14:paraId="7DF0FC37">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bookmarkStart w:id="11" w:name="_Toc79757581"/>
      <w:r>
        <w:rPr>
          <w:rFonts w:hint="eastAsia" w:ascii="宋体" w:hAnsi="宋体" w:eastAsia="宋体" w:cs="宋体"/>
          <w:color w:val="auto"/>
          <w:szCs w:val="21"/>
          <w:highlight w:val="none"/>
          <w:lang w:eastAsia="zh-CN"/>
        </w:rPr>
        <w:t>9、噪音和震动</w:t>
      </w:r>
      <w:bookmarkEnd w:id="11"/>
    </w:p>
    <w:p w14:paraId="3BA975AF">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在装置的设计中，应包括有关隔音材料、防震装置和其他适当的设施和设计，以保证设备在最终安装位置运行时，没有超过标准规定的噪音和振动要求值。在厂区内（车间外）任意一点听到机械噪音，都不能大于55分贝。而单个设备在距离其表面1米的地方，所听到噪音不能大于</w:t>
      </w:r>
      <w:r>
        <w:rPr>
          <w:rFonts w:hint="eastAsia" w:ascii="宋体" w:hAnsi="宋体" w:eastAsia="宋体" w:cs="宋体"/>
          <w:color w:val="auto"/>
          <w:szCs w:val="21"/>
          <w:highlight w:val="none"/>
          <w:lang w:val="en-US" w:eastAsia="zh-CN"/>
        </w:rPr>
        <w:t>75</w:t>
      </w:r>
      <w:r>
        <w:rPr>
          <w:rFonts w:hint="eastAsia" w:ascii="宋体" w:hAnsi="宋体" w:eastAsia="宋体" w:cs="宋体"/>
          <w:color w:val="auto"/>
          <w:szCs w:val="21"/>
          <w:highlight w:val="none"/>
          <w:lang w:eastAsia="zh-CN"/>
        </w:rPr>
        <w:t>分贝。</w:t>
      </w:r>
      <w:r>
        <w:rPr>
          <w:rFonts w:hint="eastAsia" w:ascii="宋体" w:hAnsi="宋体" w:eastAsia="宋体" w:cs="宋体"/>
          <w:color w:val="auto"/>
          <w:szCs w:val="21"/>
          <w:highlight w:val="none"/>
          <w:lang w:val="en-US" w:eastAsia="zh-CN"/>
        </w:rPr>
        <w:t>中标方</w:t>
      </w:r>
      <w:r>
        <w:rPr>
          <w:rFonts w:hint="eastAsia" w:ascii="宋体" w:hAnsi="宋体" w:eastAsia="宋体" w:cs="宋体"/>
          <w:color w:val="auto"/>
          <w:szCs w:val="21"/>
          <w:highlight w:val="none"/>
          <w:lang w:eastAsia="zh-CN"/>
        </w:rPr>
        <w:t xml:space="preserve">应该采取所规定的所有噪音防护设施。 </w:t>
      </w:r>
    </w:p>
    <w:p w14:paraId="1CD944A4">
      <w:pPr>
        <w:widowControl/>
        <w:tabs>
          <w:tab w:val="left" w:pos="540"/>
        </w:tabs>
        <w:spacing w:beforeLines="0" w:line="360" w:lineRule="auto"/>
        <w:ind w:firstLine="420" w:firstLineChars="200"/>
        <w:jc w:val="left"/>
        <w:rPr>
          <w:rFonts w:hint="eastAsia" w:ascii="宋体" w:hAnsi="宋体" w:eastAsia="宋体" w:cs="宋体"/>
          <w:color w:val="auto"/>
          <w:spacing w:val="-7"/>
          <w:szCs w:val="21"/>
          <w:highlight w:val="none"/>
          <w:lang w:eastAsia="zh-CN"/>
        </w:rPr>
      </w:pPr>
      <w:r>
        <w:rPr>
          <w:rFonts w:hint="eastAsia" w:ascii="宋体" w:hAnsi="宋体" w:eastAsia="宋体" w:cs="宋体"/>
          <w:color w:val="auto"/>
          <w:szCs w:val="21"/>
          <w:highlight w:val="none"/>
          <w:lang w:eastAsia="zh-CN"/>
        </w:rPr>
        <w:t>所有传动部件，均必须做静平衡和动平衡，以便在部件在加速运行、全速运行以及在最大负荷状态运行的任意一种情况，机器本身的任何部位以及机器相邻的任何结构，都没有超过标准规定的振动要求值。</w:t>
      </w:r>
    </w:p>
    <w:p w14:paraId="2B76619E">
      <w:pPr>
        <w:pageBreakBefore w:val="0"/>
        <w:kinsoku/>
        <w:wordWrap/>
        <w:overflowPunct/>
        <w:topLinePunct w:val="0"/>
        <w:autoSpaceDE/>
        <w:autoSpaceDN/>
        <w:bidi w:val="0"/>
        <w:adjustRightInd/>
        <w:snapToGrid/>
        <w:spacing w:beforeLines="-2147483648"/>
        <w:ind w:left="0" w:leftChars="0" w:firstLine="422" w:firstLineChars="200"/>
        <w:outlineLvl w:val="3"/>
        <w:rPr>
          <w:rFonts w:hint="eastAsia" w:ascii="宋体" w:hAnsi="宋体" w:eastAsia="宋体" w:cs="宋体"/>
          <w:b/>
          <w:bCs/>
          <w:color w:val="auto"/>
          <w:kern w:val="2"/>
          <w:sz w:val="21"/>
          <w:szCs w:val="24"/>
          <w:highlight w:val="none"/>
          <w:lang w:eastAsia="zh-CN"/>
        </w:rPr>
      </w:pPr>
      <w:r>
        <w:rPr>
          <w:rFonts w:hint="eastAsia" w:ascii="宋体" w:hAnsi="宋体" w:eastAsia="宋体" w:cs="宋体"/>
          <w:b/>
          <w:bCs/>
          <w:color w:val="auto"/>
          <w:kern w:val="2"/>
          <w:sz w:val="21"/>
          <w:szCs w:val="24"/>
          <w:highlight w:val="none"/>
          <w:lang w:val="en-US" w:eastAsia="zh-CN"/>
        </w:rPr>
        <w:t>（三）</w:t>
      </w:r>
      <w:r>
        <w:rPr>
          <w:rFonts w:hint="eastAsia" w:ascii="宋体" w:hAnsi="宋体" w:eastAsia="宋体" w:cs="宋体"/>
          <w:b/>
          <w:bCs/>
          <w:color w:val="auto"/>
          <w:kern w:val="2"/>
          <w:sz w:val="21"/>
          <w:szCs w:val="24"/>
          <w:highlight w:val="none"/>
          <w:lang w:eastAsia="zh-CN"/>
        </w:rPr>
        <w:t>旋转电动机</w:t>
      </w:r>
    </w:p>
    <w:p w14:paraId="37C48437">
      <w:pPr>
        <w:pageBreakBefore w:val="0"/>
        <w:kinsoku/>
        <w:wordWrap/>
        <w:overflowPunct/>
        <w:topLinePunct w:val="0"/>
        <w:autoSpaceDE/>
        <w:autoSpaceDN/>
        <w:bidi w:val="0"/>
        <w:adjustRightInd/>
        <w:snapToGrid/>
        <w:spacing w:beforeLines="0"/>
        <w:ind w:left="0" w:leftChars="0" w:firstLine="420" w:firstLineChars="200"/>
        <w:jc w:val="left"/>
        <w:rPr>
          <w:rFonts w:hint="eastAsia" w:ascii="宋体" w:hAnsi="宋体" w:eastAsia="宋体" w:cs="宋体"/>
          <w:b w:val="0"/>
          <w:bCs w:val="0"/>
          <w:color w:val="auto"/>
          <w:kern w:val="2"/>
          <w:sz w:val="21"/>
          <w:szCs w:val="21"/>
          <w:highlight w:val="none"/>
          <w:lang w:eastAsia="zh-CN"/>
        </w:rPr>
      </w:pPr>
      <w:r>
        <w:rPr>
          <w:rFonts w:hint="eastAsia" w:ascii="宋体" w:hAnsi="宋体" w:eastAsia="宋体" w:cs="宋体"/>
          <w:b w:val="0"/>
          <w:bCs w:val="0"/>
          <w:color w:val="auto"/>
          <w:kern w:val="2"/>
          <w:sz w:val="21"/>
          <w:szCs w:val="21"/>
          <w:highlight w:val="none"/>
          <w:lang w:val="en-US" w:eastAsia="zh-CN"/>
        </w:rPr>
        <w:t>1.</w:t>
      </w:r>
      <w:r>
        <w:rPr>
          <w:rFonts w:hint="eastAsia" w:ascii="宋体" w:hAnsi="宋体" w:eastAsia="宋体" w:cs="宋体"/>
          <w:b w:val="0"/>
          <w:bCs w:val="0"/>
          <w:color w:val="auto"/>
          <w:kern w:val="2"/>
          <w:sz w:val="21"/>
          <w:szCs w:val="21"/>
          <w:highlight w:val="none"/>
          <w:lang w:eastAsia="zh-CN"/>
        </w:rPr>
        <w:t>一般电气要求</w:t>
      </w:r>
    </w:p>
    <w:p w14:paraId="784CC324">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机械设备制造商必须选择并提供与机械相配的所有电动机。</w:t>
      </w:r>
    </w:p>
    <w:p w14:paraId="0DCF8FE7">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rPr>
        <w:t>★</w:t>
      </w:r>
      <w:r>
        <w:rPr>
          <w:rFonts w:hint="eastAsia" w:ascii="宋体" w:hAnsi="宋体" w:eastAsia="宋体" w:cs="宋体"/>
          <w:color w:val="auto"/>
          <w:kern w:val="2"/>
          <w:sz w:val="21"/>
          <w:szCs w:val="21"/>
          <w:highlight w:val="none"/>
          <w:lang w:eastAsia="zh-CN"/>
        </w:rPr>
        <w:t>电动机的设计、制造、安装、测试应服从IEC 和国家标准，定速电机效率不低于《GB18613-2020电动机能效限定及能效等级</w:t>
      </w:r>
      <w:r>
        <w:rPr>
          <w:rFonts w:hint="eastAsia" w:ascii="宋体" w:hAnsi="宋体" w:eastAsia="宋体" w:cs="宋体"/>
          <w:b w:val="0"/>
          <w:bCs w:val="0"/>
          <w:color w:val="auto"/>
          <w:kern w:val="2"/>
          <w:sz w:val="21"/>
          <w:szCs w:val="21"/>
          <w:highlight w:val="none"/>
          <w:lang w:eastAsia="zh-CN"/>
        </w:rPr>
        <w:t>》</w:t>
      </w:r>
      <w:r>
        <w:rPr>
          <w:rFonts w:hint="eastAsia" w:ascii="宋体" w:hAnsi="宋体" w:eastAsia="宋体" w:cs="宋体"/>
          <w:b/>
          <w:bCs/>
          <w:color w:val="auto"/>
          <w:kern w:val="2"/>
          <w:sz w:val="21"/>
          <w:szCs w:val="21"/>
          <w:highlight w:val="none"/>
          <w:lang w:eastAsia="zh-CN"/>
        </w:rPr>
        <w:t>二级能效要求。</w:t>
      </w:r>
    </w:p>
    <w:p w14:paraId="58489197">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(1）每一电动机的机械特性，必须适合被驱动设备的负载特性。除另有注明者外，电动机应为笼型交流异步感应电动机。</w:t>
      </w:r>
    </w:p>
    <w:p w14:paraId="50896C99">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(2）电动机功率</w:t>
      </w:r>
    </w:p>
    <w:p w14:paraId="3A342169">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电动机功率不得小于每个被驱动机械在驱动范围内所需功率，其储备系数须为1.3。</w:t>
      </w:r>
    </w:p>
    <w:p w14:paraId="34B90848">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电动机功率小于15KW时，采用直接起动。</w:t>
      </w:r>
    </w:p>
    <w:p w14:paraId="19C11A5E">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如所估最低功率不足以符合上述要求或其他需要，中标人应提供较大功率的电动机，因增加电动机功率而引起的一切变更，如增加起动器电流、增大的电气开关、增加导管及导线等，均应由中标人自行负责，而不再向买方要求增加任何费用。</w:t>
      </w:r>
    </w:p>
    <w:p w14:paraId="7F3C1DC5">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电动机为三相交流380V/50Hz，电动机在满负荷时最低保证效率为95% ，中标人应指明每台电动机精确的功率损耗，电动机在正常情况下运行，其功率均不会超过铭牌上规定的额定功率。</w:t>
      </w:r>
    </w:p>
    <w:p w14:paraId="3E7D1AB2">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(3）施工与标准件</w:t>
      </w:r>
    </w:p>
    <w:p w14:paraId="29AF7995">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所有电动机必须依照最新版中国国家标准（或IEC标准）或等同的其他标准而设计、制造、试车及测试。</w:t>
      </w:r>
    </w:p>
    <w:p w14:paraId="51F15173">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每部电动机须安装一永久性、不会腐蚀的铭牌，该铭牌应安装在明显位置，所有的电动机资料均应以中文记载在铭牌上。</w:t>
      </w:r>
    </w:p>
    <w:p w14:paraId="5FD94AF4">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如电源电压小于电动机铭牌记载电压的10%，该电动机也必须有足够的扭力。</w:t>
      </w:r>
    </w:p>
    <w:p w14:paraId="7A9E7548">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除非另有注明，所有电动机在满载时须能连续运转。</w:t>
      </w:r>
    </w:p>
    <w:p w14:paraId="33E4220A">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所有安装的电动机必须是全密闭式，防护等级不低于IP55。</w:t>
      </w:r>
    </w:p>
    <w:p w14:paraId="2FBF789E">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小于30KW的电动机应使用预先润滑的滚珠轴承。</w:t>
      </w:r>
    </w:p>
    <w:p w14:paraId="6F0B7581">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大于30KW的水平式电动机应装设有抗磨的轴承，而且必须有油脂入口与出口栓塞，应当可以随时润滑，并允许排除润滑废油而不需作任何拆卸。</w:t>
      </w:r>
    </w:p>
    <w:p w14:paraId="2CA72668">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每一部垂直式电动机必须装设有滚柱或滚珠状的推力轴承，应足以承受自重及操作时所产生的推力。</w:t>
      </w:r>
    </w:p>
    <w:p w14:paraId="2CD97AFB">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每部电动机必须有一铭牌说明其轴承和润滑方法。</w:t>
      </w:r>
    </w:p>
    <w:p w14:paraId="6B4A358B">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轴承的设计应于电动机在100%的负载下操作时，能达到五年运转寿命。</w:t>
      </w:r>
    </w:p>
    <w:p w14:paraId="0FC20F47">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(4）绝缘等级与温升</w:t>
      </w:r>
    </w:p>
    <w:p w14:paraId="7F99229C">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每部电动机必须有IEC标准或等同标准规定的F级材质绝缘。</w:t>
      </w:r>
    </w:p>
    <w:p w14:paraId="753C3D3C">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为使电动机能有一较长的使用寿命，当电动机在满载而不超载连续运转的情况下，该电动机的升温必须不超过GB755-2000或等同标准绝缘材质所规定的限度。</w:t>
      </w:r>
    </w:p>
    <w:p w14:paraId="7813CC14">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电动机周围的气温加上运转时温度上升的总温度不得超过采用标准所规定的限度。（工地白天气温可能高达40℃）</w:t>
      </w:r>
    </w:p>
    <w:p w14:paraId="5FBCCD7F">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设备运到现场后，电动机绝缘必须依照采用的标准规定的方法进行试验，如电动机有任何缺陷或绝缘抵抗力未达到标准规定，中标人必须无偿更换一部新电动机。</w:t>
      </w:r>
    </w:p>
    <w:p w14:paraId="7E23EF89">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电动机绕组应是由绝缘铜线绕制的、经真空压力浸漆的绝缘线圈，绝缘等级为F 级，绕组温升等级为B 级，最大工作温度可达155℃。</w:t>
      </w:r>
    </w:p>
    <w:p w14:paraId="14362CC1">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(5）电流平衡</w:t>
      </w:r>
    </w:p>
    <w:p w14:paraId="357AF641">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当电动机在其正常使用范围内之任何负载情况下运转，且是一个平衡电压供给系统时，多相电动机各极的不平衡电流不得超过以下所列数值：</w:t>
      </w:r>
    </w:p>
    <w:p w14:paraId="34DCEDEF">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30KW以下5%（不平衡度）</w:t>
      </w:r>
    </w:p>
    <w:p w14:paraId="2971CCB5">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30KW或以上2%（不平衡度）</w:t>
      </w:r>
    </w:p>
    <w:p w14:paraId="4391E65C">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虽然不平衡电流小于上表所列，但如果不平衡电流仍引起机械震动，中标人应负责修正该问题。</w:t>
      </w:r>
    </w:p>
    <w:p w14:paraId="6ECF6ED6">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(6）其他</w:t>
      </w:r>
    </w:p>
    <w:p w14:paraId="41F60108">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所有电动机应有外壳、轴承托架、风扇盖以及电线管，防水和完全密闭式电动机，在电动机接线盒与电线管之间必须安装有硅质橡胶衬垫。</w:t>
      </w:r>
    </w:p>
    <w:p w14:paraId="53FDEE52">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所有金属零件必须抗腐蚀，电动机必须依照制造厂商的标准涂装。</w:t>
      </w:r>
    </w:p>
    <w:p w14:paraId="49583303">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电动机的风扇为耐腐蚀材质，须适合任何方向的旋转，并且在装配经过精确的平衡。风扇外壳不得采用非金属材料。</w:t>
      </w:r>
    </w:p>
    <w:p w14:paraId="45D07FD1">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电动机的转子须经过动平衡校正，最大振幅在低于1800rpm时，不得超过0.04mm；在同步转速为3600rpm时，不得超过0.03mm。</w:t>
      </w:r>
    </w:p>
    <w:p w14:paraId="56F14BA4">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定速电动机能在频率为49-51Hz/s，电压在正常额定电压下波动5%变化中连续运行。</w:t>
      </w:r>
    </w:p>
    <w:p w14:paraId="063321F2">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变频电动机能在频率为0-51Hz/s变化中连续运行。</w:t>
      </w:r>
    </w:p>
    <w:p w14:paraId="40E0262B">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当频率正常而电压为0.8ue时，电动机和接触器能继续运行5min , 而不产生有害过热，且能在相间电压产生2% 的不平衡电压情况下继续运行。</w:t>
      </w:r>
    </w:p>
    <w:p w14:paraId="1DE065B0">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应保证电动机额定负荷条件下的功率因数不低于0.85。</w:t>
      </w:r>
    </w:p>
    <w:p w14:paraId="77340006">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要求电动机在额定工况下连续运行的平均寿命不少于20年。</w:t>
      </w:r>
    </w:p>
    <w:p w14:paraId="4508D867">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要求电动机为低噪声，符合IEC和中国标准。</w:t>
      </w:r>
    </w:p>
    <w:p w14:paraId="30F9D419">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电动机全部轴承都要求带有润滑油或润滑剂。</w:t>
      </w:r>
    </w:p>
    <w:p w14:paraId="71DC4079">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要求电动机外壳带有提升环和接地螺丝。</w:t>
      </w:r>
    </w:p>
    <w:p w14:paraId="46D33138">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电缆接线盒与电动机的外壳框架稳固安装在一起或铸为一体，全封闭防水、防潮、防盐雾、耐腐蚀，经得起冲撞，盒内应有联接电动机绕组抽头的端子，它们是大小适当的双头螺钉，且按标准标明端子之间的关系，电缆是由接线盒的底部进入并用密封垫圈加以密封，用于电动机绕组测温元件引出的接点端子应与电动机绕组电缆接线的端子适当隔离。</w:t>
      </w:r>
    </w:p>
    <w:p w14:paraId="0D1A07B1">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所有电动机都要根据要求对外壳进行接地，接地线和接地端子由中标人随每台电动机设备一起提供。</w:t>
      </w:r>
    </w:p>
    <w:p w14:paraId="0E5C4791">
      <w:pPr>
        <w:pageBreakBefore w:val="0"/>
        <w:kinsoku/>
        <w:wordWrap/>
        <w:overflowPunct/>
        <w:topLinePunct w:val="0"/>
        <w:autoSpaceDE/>
        <w:autoSpaceDN/>
        <w:bidi w:val="0"/>
        <w:adjustRightInd/>
        <w:snapToGrid/>
        <w:spacing w:beforeLines="0"/>
        <w:ind w:left="0" w:leftChars="0" w:firstLine="420" w:firstLineChars="200"/>
        <w:jc w:val="left"/>
        <w:rPr>
          <w:rFonts w:hint="eastAsia" w:ascii="宋体" w:hAnsi="宋体" w:eastAsia="宋体" w:cs="宋体"/>
          <w:b w:val="0"/>
          <w:bCs w:val="0"/>
          <w:color w:val="auto"/>
          <w:kern w:val="2"/>
          <w:sz w:val="21"/>
          <w:szCs w:val="21"/>
          <w:highlight w:val="none"/>
          <w:lang w:eastAsia="zh-CN"/>
        </w:rPr>
      </w:pPr>
      <w:r>
        <w:rPr>
          <w:rFonts w:hint="eastAsia" w:ascii="宋体" w:hAnsi="宋体" w:eastAsia="宋体" w:cs="宋体"/>
          <w:b w:val="0"/>
          <w:bCs w:val="0"/>
          <w:color w:val="auto"/>
          <w:kern w:val="2"/>
          <w:sz w:val="21"/>
          <w:szCs w:val="21"/>
          <w:highlight w:val="none"/>
          <w:lang w:val="en-US" w:eastAsia="zh-CN"/>
        </w:rPr>
        <w:t>2.</w:t>
      </w:r>
      <w:r>
        <w:rPr>
          <w:rFonts w:hint="eastAsia" w:ascii="宋体" w:hAnsi="宋体" w:eastAsia="宋体" w:cs="宋体"/>
          <w:b w:val="0"/>
          <w:bCs w:val="0"/>
          <w:color w:val="auto"/>
          <w:kern w:val="2"/>
          <w:sz w:val="21"/>
          <w:szCs w:val="21"/>
          <w:highlight w:val="none"/>
          <w:lang w:eastAsia="zh-CN"/>
        </w:rPr>
        <w:t>低压电动机</w:t>
      </w:r>
    </w:p>
    <w:p w14:paraId="7471E700">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低压电动机为三相交流380V/50Hz，其容量在15KW以下为直接起动，并且起动电流不能超过电动机额定电流的7倍，起动器采用操作线圈为单相220V/50HZ 的交流接触器，要求带有热过负荷、断相、堵转、过电压、三相不平衡保护和欠电压保护。低压电动机容量15KW以上，均采用降压起动，此时限制起动电流为电动机额定电流3倍以下，其起动装置要求带有热过负荷、断相、堵转、过电压、三相不平衡保护和欠电压保护等。</w:t>
      </w:r>
    </w:p>
    <w:p w14:paraId="3997C1D6">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除非有特殊要求，否则电动机起动器可以放在MCC 的抽屉中，起动器应是高质量、结实耐用、不发生弧光引起过流危险的设备。</w:t>
      </w:r>
    </w:p>
    <w:p w14:paraId="5D1E7E68">
      <w:pPr>
        <w:pageBreakBefore w:val="0"/>
        <w:kinsoku/>
        <w:wordWrap/>
        <w:overflowPunct/>
        <w:topLinePunct w:val="0"/>
        <w:autoSpaceDE/>
        <w:autoSpaceDN/>
        <w:bidi w:val="0"/>
        <w:adjustRightInd/>
        <w:snapToGrid/>
        <w:spacing w:beforeLines="-2147483648"/>
        <w:ind w:left="0" w:leftChars="0" w:firstLine="422" w:firstLineChars="200"/>
        <w:outlineLvl w:val="3"/>
        <w:rPr>
          <w:rFonts w:hint="eastAsia" w:ascii="宋体" w:hAnsi="宋体" w:eastAsia="宋体" w:cs="宋体"/>
          <w:b/>
          <w:bCs/>
          <w:color w:val="auto"/>
          <w:kern w:val="2"/>
          <w:sz w:val="21"/>
          <w:szCs w:val="24"/>
          <w:highlight w:val="none"/>
          <w:lang w:eastAsia="zh-CN"/>
        </w:rPr>
      </w:pPr>
      <w:r>
        <w:rPr>
          <w:rFonts w:hint="eastAsia" w:ascii="宋体" w:hAnsi="宋体" w:eastAsia="宋体" w:cs="宋体"/>
          <w:b/>
          <w:bCs/>
          <w:color w:val="auto"/>
          <w:kern w:val="2"/>
          <w:sz w:val="21"/>
          <w:szCs w:val="24"/>
          <w:highlight w:val="none"/>
          <w:lang w:val="en-US" w:eastAsia="zh-CN"/>
        </w:rPr>
        <w:t>（四）</w:t>
      </w:r>
      <w:r>
        <w:rPr>
          <w:rFonts w:hint="eastAsia" w:ascii="宋体" w:hAnsi="宋体" w:eastAsia="宋体" w:cs="宋体"/>
          <w:b/>
          <w:bCs/>
          <w:color w:val="auto"/>
          <w:kern w:val="2"/>
          <w:sz w:val="21"/>
          <w:szCs w:val="24"/>
          <w:highlight w:val="none"/>
          <w:lang w:eastAsia="zh-CN"/>
        </w:rPr>
        <w:t>电气仪表的技术服务工作</w:t>
      </w:r>
    </w:p>
    <w:p w14:paraId="14D92386">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bookmarkStart w:id="12" w:name="_Toc79757583"/>
      <w:r>
        <w:rPr>
          <w:rFonts w:hint="eastAsia" w:ascii="宋体" w:hAnsi="宋体" w:eastAsia="宋体" w:cs="宋体"/>
          <w:color w:val="auto"/>
          <w:szCs w:val="21"/>
          <w:highlight w:val="none"/>
          <w:lang w:eastAsia="zh-CN"/>
        </w:rPr>
        <w:t>1、电气及仪表安装的技术服务工作</w:t>
      </w:r>
      <w:bookmarkEnd w:id="12"/>
    </w:p>
    <w:p w14:paraId="41705622">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(1）投标人根据合同规定应负责整个合同包内系统的指导安装。 </w:t>
      </w:r>
    </w:p>
    <w:p w14:paraId="230D4268">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(2）投标人应协调、控制相交叉的其他工作，以保证提供的设备、布线、基础、穿孔等符合要求。投标人应对正确协调工作负全部责任，如由于不正确协调的额外工作所导致的损坏或其他费用将得不到补偿。 </w:t>
      </w:r>
    </w:p>
    <w:p w14:paraId="77EEF546">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(3）投标人应提供并安装为压紧、固定、定位等所需的安装用铁轨、螺栓、铁条、夹紧件、撑架支持用的铁件、底板。 </w:t>
      </w:r>
    </w:p>
    <w:p w14:paraId="4772FC94">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bookmarkStart w:id="13" w:name="_Toc79757584"/>
      <w:r>
        <w:rPr>
          <w:rFonts w:hint="eastAsia" w:ascii="宋体" w:hAnsi="宋体" w:eastAsia="宋体" w:cs="宋体"/>
          <w:color w:val="auto"/>
          <w:szCs w:val="21"/>
          <w:highlight w:val="none"/>
          <w:lang w:eastAsia="zh-CN"/>
        </w:rPr>
        <w:t>2、电气及仪表试运行的技术服务</w:t>
      </w:r>
      <w:bookmarkEnd w:id="13"/>
    </w:p>
    <w:p w14:paraId="2399D89D">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(1）投标人应当保证，所有提供的设备，在制造上以及元器件上都是符合标准规定的，除另有规定外， 在验收合格缺陷责任期内，如发现隐害或质量问题，投标人应毫不拖延地修复任一部位发生的故障或带来的危害，使其符合规定要求，其费用应当由投标人负责。如因其危害带来的损失或由此引起的其他部分损失，其费用也应由投标人负责。 </w:t>
      </w:r>
    </w:p>
    <w:p w14:paraId="2CA2C822">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Cs w:val="21"/>
          <w:highlight w:val="none"/>
          <w:lang w:eastAsia="zh-CN"/>
        </w:rPr>
        <w:t>(2）系统安装工作完成，且工况良好，经招标人同意，进入试运行性能测试工作，在投标人的控制和招标人的监督下，对系统进行每天24h连续一天的运行性能测试工作。在检测过程中如发现设备性能与原定要求有所偏离时，应由投标人负责解决，必要的话，可通过现场反复试验，直至符合招标人的要求为止。如系统设备成功地连续运行一个月后，应当视为试运行结束，按照有关规定办理移交手续。</w:t>
      </w:r>
    </w:p>
    <w:p w14:paraId="4D0889D2">
      <w:pPr>
        <w:pageBreakBefore w:val="0"/>
        <w:kinsoku/>
        <w:wordWrap/>
        <w:overflowPunct/>
        <w:topLinePunct w:val="0"/>
        <w:autoSpaceDE/>
        <w:autoSpaceDN/>
        <w:bidi w:val="0"/>
        <w:adjustRightInd/>
        <w:snapToGrid/>
        <w:spacing w:beforeLines="-2147483648"/>
        <w:ind w:left="0" w:leftChars="0" w:firstLine="422" w:firstLineChars="200"/>
        <w:outlineLvl w:val="3"/>
        <w:rPr>
          <w:rFonts w:hint="eastAsia" w:ascii="宋体" w:hAnsi="宋体" w:eastAsia="宋体" w:cs="宋体"/>
          <w:b/>
          <w:bCs/>
          <w:color w:val="auto"/>
          <w:kern w:val="2"/>
          <w:sz w:val="21"/>
          <w:szCs w:val="24"/>
          <w:highlight w:val="none"/>
          <w:lang w:eastAsia="zh-CN"/>
        </w:rPr>
      </w:pPr>
      <w:r>
        <w:rPr>
          <w:rFonts w:hint="eastAsia" w:ascii="宋体" w:hAnsi="宋体" w:eastAsia="宋体" w:cs="宋体"/>
          <w:b/>
          <w:bCs/>
          <w:color w:val="auto"/>
          <w:kern w:val="2"/>
          <w:sz w:val="21"/>
          <w:szCs w:val="24"/>
          <w:highlight w:val="none"/>
          <w:lang w:val="en-US" w:eastAsia="zh-CN"/>
        </w:rPr>
        <w:t>（五）</w:t>
      </w:r>
      <w:r>
        <w:rPr>
          <w:rFonts w:hint="eastAsia" w:ascii="宋体" w:hAnsi="宋体" w:eastAsia="宋体" w:cs="宋体"/>
          <w:b/>
          <w:bCs/>
          <w:color w:val="auto"/>
          <w:kern w:val="2"/>
          <w:sz w:val="21"/>
          <w:szCs w:val="24"/>
          <w:highlight w:val="none"/>
          <w:lang w:eastAsia="zh-CN"/>
        </w:rPr>
        <w:t>防蚀与涂装</w:t>
      </w:r>
    </w:p>
    <w:p w14:paraId="0B8150D1">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bookmarkStart w:id="14" w:name="_Toc79757586"/>
      <w:r>
        <w:rPr>
          <w:rFonts w:hint="eastAsia" w:ascii="宋体" w:hAnsi="宋体" w:eastAsia="宋体" w:cs="宋体"/>
          <w:color w:val="auto"/>
          <w:szCs w:val="21"/>
          <w:highlight w:val="none"/>
          <w:lang w:eastAsia="zh-CN"/>
        </w:rPr>
        <w:t>1、工厂内涂装</w:t>
      </w:r>
      <w:bookmarkEnd w:id="14"/>
    </w:p>
    <w:p w14:paraId="0E993052">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1）除非另有规定，所有机械和电气的设备，以及黑色金属所制造的设备，都应在制作现场进行涂装。除非另有规定，设备的表面防腐处理可以根据制造商的设备防护涂层系统进行工程准备、打光和完成涂层，要求设备的表面防腐处理应具有优良的耐腐蚀性，制造商应提供该设备表面处理的方法、涂层名称、厚度等技术说明，并提供防腐寿命的年限。 </w:t>
      </w:r>
    </w:p>
    <w:p w14:paraId="37901B38">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（2）所有的构造钢件、金属外壳以及其他的黑色金属构件，应当在工厂内除锈。 </w:t>
      </w:r>
    </w:p>
    <w:p w14:paraId="3A87E0DC">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（3）工厂内涂装面层习惯上要做搪瓷表层的所有设备，或者需要做标准性工厂内的最后一道面层的所有设备，都应很好地进行涂装，以增强海洋运输或存放期过长时的保护作用。 </w:t>
      </w:r>
    </w:p>
    <w:p w14:paraId="3C5E96DC">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bookmarkStart w:id="15" w:name="_Toc79757587"/>
      <w:r>
        <w:rPr>
          <w:rFonts w:hint="eastAsia" w:ascii="宋体" w:hAnsi="宋体" w:eastAsia="宋体" w:cs="宋体"/>
          <w:color w:val="auto"/>
          <w:szCs w:val="21"/>
          <w:highlight w:val="none"/>
          <w:lang w:eastAsia="zh-CN"/>
        </w:rPr>
        <w:t>2、涂料体系标准</w:t>
      </w:r>
      <w:bookmarkEnd w:id="15"/>
    </w:p>
    <w:p w14:paraId="6BA86B7D">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本合同所规定的需进行的涂料体系，都要进行涂装前的表面处理工作。表面处理应遵守中国标准GB8923-88 的规定或国际上等同或优于标准，粗燥度不超过 100μm。 </w:t>
      </w:r>
    </w:p>
    <w:p w14:paraId="4035B042">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体系A（环氧树脂漆体系） </w:t>
      </w:r>
    </w:p>
    <w:p w14:paraId="036BD0C3">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体系B（沥青环氧树脂漆体系） </w:t>
      </w:r>
    </w:p>
    <w:p w14:paraId="5D7B2FB9">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体系C（镀锌面的涂料体系） </w:t>
      </w:r>
    </w:p>
    <w:p w14:paraId="3755F89E">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(1）表面处理和底漆。表面应当无潮气，无尘埃和其他的污染物质，应当用溶剂清洁剂来洗净表面，缺损的镀锌表面可用手动或电动的工具来刷净，应当遵守GB8923-88或等同标准的规定来做表面处理和涂上蚀刻底漆，干化后的蚀刻底漆最小厚度为20μm。 </w:t>
      </w:r>
    </w:p>
    <w:p w14:paraId="57397E43">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(2）涂层。表面处理过程结束后，体系A、B、C的涂料层即可实施，除非另有说明。 </w:t>
      </w:r>
    </w:p>
    <w:p w14:paraId="7B1AEB53">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bookmarkStart w:id="16" w:name="_Toc79757588"/>
      <w:r>
        <w:rPr>
          <w:rFonts w:hint="eastAsia" w:ascii="宋体" w:hAnsi="宋体" w:eastAsia="宋体" w:cs="宋体"/>
          <w:color w:val="auto"/>
          <w:szCs w:val="21"/>
          <w:highlight w:val="none"/>
          <w:lang w:eastAsia="zh-CN"/>
        </w:rPr>
        <w:t>3、涂装范围</w:t>
      </w:r>
      <w:bookmarkEnd w:id="16"/>
    </w:p>
    <w:p w14:paraId="7C031401">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前面规定的涂料体系，应当敷于下列的物体和表面上（除非另有规定）： </w:t>
      </w:r>
    </w:p>
    <w:p w14:paraId="3629B526">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(1）在腐蚀环境下，室内服务的未镀锌黑色金属表面：使用体系A。 </w:t>
      </w:r>
    </w:p>
    <w:p w14:paraId="4E1789B8">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(2）浸入水中或间断浸水的钢表面（除不锈钢外）：使用体系B。 </w:t>
      </w:r>
    </w:p>
    <w:p w14:paraId="5581AADD">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(3）浸入水中或间断浸入水中的镀锌钢表面：使用体系C再加体系B。 </w:t>
      </w:r>
    </w:p>
    <w:p w14:paraId="3292E7A9">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bookmarkStart w:id="17" w:name="_Toc79757589"/>
      <w:r>
        <w:rPr>
          <w:rFonts w:hint="eastAsia" w:ascii="宋体" w:hAnsi="宋体" w:eastAsia="宋体" w:cs="宋体"/>
          <w:color w:val="auto"/>
          <w:szCs w:val="21"/>
          <w:highlight w:val="none"/>
          <w:lang w:eastAsia="zh-CN"/>
        </w:rPr>
        <w:t>4、涂装表面</w:t>
      </w:r>
      <w:bookmarkEnd w:id="17"/>
    </w:p>
    <w:p w14:paraId="513F31C5">
      <w:pPr>
        <w:widowControl/>
        <w:tabs>
          <w:tab w:val="left" w:pos="540"/>
        </w:tabs>
        <w:spacing w:beforeLines="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 xml:space="preserve">应当采取保护措施，使油漆后的表面不遭受撞击、摩擦、褪色以及其他因素的损伤，在设备被验收前所遭到的损坏，应当消除后再加涂，直到取得招标人的同意后，才算合格。 </w:t>
      </w:r>
    </w:p>
    <w:p w14:paraId="70CA1635">
      <w:pPr>
        <w:widowControl/>
        <w:tabs>
          <w:tab w:val="left" w:pos="540"/>
        </w:tabs>
        <w:spacing w:beforeLines="0" w:line="360" w:lineRule="auto"/>
        <w:ind w:firstLine="420" w:firstLineChars="200"/>
        <w:jc w:val="left"/>
        <w:rPr>
          <w:rFonts w:hint="eastAsia" w:ascii="宋体" w:hAnsi="宋体" w:eastAsia="宋体" w:cs="宋体"/>
          <w:color w:val="auto"/>
          <w:spacing w:val="-7"/>
          <w:szCs w:val="21"/>
          <w:highlight w:val="none"/>
          <w:lang w:eastAsia="zh-CN"/>
        </w:rPr>
      </w:pPr>
      <w:r>
        <w:rPr>
          <w:rFonts w:hint="eastAsia" w:ascii="宋体" w:hAnsi="宋体" w:eastAsia="宋体" w:cs="宋体"/>
          <w:color w:val="auto"/>
          <w:szCs w:val="21"/>
          <w:highlight w:val="none"/>
          <w:lang w:eastAsia="zh-CN"/>
        </w:rPr>
        <w:t>涂层应采用环氧基涂料。涂层厚度分布应均匀，外表面涂层厚度低于 150um、或内表面涂层厚度低于250um 为不合格（边缘除外）。涂层聚合度≤2 级（EN 14901:2014）。附着力应良好，用附着力拉开法试验时（ISO 16276-1:2007），测量值应高于 8 MPa（EN 14901:2014）。在用针孔电火花检测仪检验（测试电压：外表面 1.2kV，内表面 1.5kV）时，不能检出有任何空隙或小孔。</w:t>
      </w:r>
      <w:r>
        <w:rPr>
          <w:rFonts w:hint="eastAsia" w:ascii="宋体" w:hAnsi="宋体" w:eastAsia="宋体" w:cs="宋体"/>
          <w:color w:val="auto"/>
          <w:spacing w:val="-7"/>
          <w:szCs w:val="21"/>
          <w:highlight w:val="none"/>
          <w:lang w:eastAsia="zh-CN"/>
        </w:rPr>
        <w:t xml:space="preserve"> </w:t>
      </w:r>
    </w:p>
    <w:p w14:paraId="4D71A0DC">
      <w:pPr>
        <w:spacing w:beforeLines="-2147483648" w:line="240" w:lineRule="auto"/>
        <w:ind w:firstLine="422" w:firstLineChars="200"/>
        <w:outlineLvl w:val="3"/>
        <w:rPr>
          <w:rFonts w:hint="eastAsia" w:ascii="宋体" w:hAnsi="宋体" w:eastAsia="宋体" w:cs="宋体"/>
          <w:b/>
          <w:bCs/>
          <w:color w:val="auto"/>
          <w:kern w:val="2"/>
          <w:sz w:val="21"/>
          <w:szCs w:val="24"/>
          <w:highlight w:val="none"/>
          <w:lang w:eastAsia="zh-CN"/>
        </w:rPr>
      </w:pPr>
      <w:r>
        <w:rPr>
          <w:rFonts w:hint="eastAsia" w:ascii="宋体" w:hAnsi="宋体" w:eastAsia="宋体" w:cs="宋体"/>
          <w:b/>
          <w:bCs/>
          <w:color w:val="auto"/>
          <w:kern w:val="2"/>
          <w:sz w:val="21"/>
          <w:szCs w:val="24"/>
          <w:highlight w:val="none"/>
          <w:lang w:val="en-US" w:eastAsia="zh-CN"/>
        </w:rPr>
        <w:t>（六）</w:t>
      </w:r>
      <w:r>
        <w:rPr>
          <w:rFonts w:hint="eastAsia" w:ascii="宋体" w:hAnsi="宋体" w:eastAsia="宋体" w:cs="宋体"/>
          <w:b/>
          <w:bCs/>
          <w:color w:val="auto"/>
          <w:kern w:val="2"/>
          <w:sz w:val="21"/>
          <w:szCs w:val="24"/>
          <w:highlight w:val="none"/>
          <w:lang w:eastAsia="zh-CN"/>
        </w:rPr>
        <w:t>备品及其他</w:t>
      </w:r>
    </w:p>
    <w:p w14:paraId="4BC15F63">
      <w:pPr>
        <w:spacing w:beforeLines="0" w:line="360" w:lineRule="auto"/>
        <w:ind w:firstLine="420" w:firstLineChars="200"/>
        <w:rPr>
          <w:rFonts w:hint="eastAsia" w:ascii="宋体" w:hAnsi="宋体" w:eastAsia="宋体" w:cs="宋体"/>
          <w:b w:val="0"/>
          <w:bCs w:val="0"/>
          <w:color w:val="auto"/>
          <w:kern w:val="2"/>
          <w:sz w:val="21"/>
          <w:szCs w:val="21"/>
          <w:highlight w:val="none"/>
          <w:lang w:eastAsia="zh-CN"/>
        </w:rPr>
      </w:pPr>
      <w:r>
        <w:rPr>
          <w:rFonts w:hint="eastAsia" w:ascii="宋体" w:hAnsi="宋体" w:eastAsia="宋体" w:cs="宋体"/>
          <w:b w:val="0"/>
          <w:bCs w:val="0"/>
          <w:color w:val="auto"/>
          <w:kern w:val="2"/>
          <w:sz w:val="21"/>
          <w:szCs w:val="21"/>
          <w:highlight w:val="none"/>
          <w:lang w:val="en-US" w:eastAsia="zh-CN"/>
        </w:rPr>
        <w:t>1.</w:t>
      </w:r>
      <w:r>
        <w:rPr>
          <w:rFonts w:hint="eastAsia" w:ascii="宋体" w:hAnsi="宋体" w:eastAsia="宋体" w:cs="宋体"/>
          <w:b w:val="0"/>
          <w:bCs w:val="0"/>
          <w:color w:val="auto"/>
          <w:kern w:val="2"/>
          <w:sz w:val="21"/>
          <w:szCs w:val="21"/>
          <w:highlight w:val="none"/>
          <w:lang w:eastAsia="zh-CN"/>
        </w:rPr>
        <w:t>法兰和螺纹接口</w:t>
      </w:r>
    </w:p>
    <w:p w14:paraId="1108DD63">
      <w:pPr>
        <w:pageBreakBefore w:val="0"/>
        <w:widowControl/>
        <w:kinsoku/>
        <w:wordWrap/>
        <w:overflowPunct/>
        <w:topLinePunct w:val="0"/>
        <w:autoSpaceDE/>
        <w:autoSpaceDN/>
        <w:bidi w:val="0"/>
        <w:adjustRightInd/>
        <w:snapToGrid/>
        <w:spacing w:beforeLines="0" w:line="360" w:lineRule="auto"/>
        <w:ind w:left="0" w:leftChars="0"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法兰接口。中标人供货设备及管道之间的法兰连接，其规格必须符合GB/T 9113-2010标准。</w:t>
      </w:r>
    </w:p>
    <w:p w14:paraId="1B00FD6F">
      <w:pPr>
        <w:spacing w:beforeLines="0" w:line="360" w:lineRule="auto"/>
        <w:ind w:firstLine="420" w:firstLineChars="200"/>
        <w:rPr>
          <w:rFonts w:hint="eastAsia" w:ascii="宋体" w:hAnsi="宋体" w:eastAsia="宋体" w:cs="宋体"/>
          <w:b w:val="0"/>
          <w:bCs w:val="0"/>
          <w:color w:val="auto"/>
          <w:kern w:val="2"/>
          <w:sz w:val="21"/>
          <w:szCs w:val="21"/>
          <w:highlight w:val="none"/>
          <w:lang w:eastAsia="zh-CN"/>
        </w:rPr>
      </w:pPr>
      <w:r>
        <w:rPr>
          <w:rFonts w:hint="eastAsia" w:ascii="宋体" w:hAnsi="宋体" w:eastAsia="宋体" w:cs="宋体"/>
          <w:b w:val="0"/>
          <w:bCs w:val="0"/>
          <w:color w:val="auto"/>
          <w:kern w:val="2"/>
          <w:sz w:val="21"/>
          <w:szCs w:val="21"/>
          <w:highlight w:val="none"/>
          <w:lang w:val="en-US" w:eastAsia="zh-CN"/>
        </w:rPr>
        <w:t>2.</w:t>
      </w:r>
      <w:r>
        <w:rPr>
          <w:rFonts w:hint="eastAsia" w:ascii="宋体" w:hAnsi="宋体" w:eastAsia="宋体" w:cs="宋体"/>
          <w:b w:val="0"/>
          <w:bCs w:val="0"/>
          <w:color w:val="auto"/>
          <w:kern w:val="2"/>
          <w:sz w:val="21"/>
          <w:szCs w:val="21"/>
          <w:highlight w:val="none"/>
          <w:lang w:eastAsia="zh-CN"/>
        </w:rPr>
        <w:t>备件</w:t>
      </w:r>
    </w:p>
    <w:p w14:paraId="4ED3E6DB">
      <w:pPr>
        <w:widowControl/>
        <w:spacing w:beforeLines="0" w:line="360" w:lineRule="auto"/>
        <w:ind w:firstLine="420" w:firstLineChars="200"/>
        <w:outlineLvl w:val="9"/>
        <w:rPr>
          <w:rFonts w:cs="宋体"/>
          <w:b/>
          <w:bCs/>
          <w:color w:val="auto"/>
          <w:kern w:val="0"/>
          <w:szCs w:val="21"/>
          <w:highlight w:val="none"/>
        </w:rPr>
      </w:pPr>
      <w:r>
        <w:rPr>
          <w:rFonts w:hint="eastAsia" w:ascii="宋体" w:hAnsi="宋体" w:eastAsia="宋体" w:cs="宋体"/>
          <w:color w:val="auto"/>
          <w:szCs w:val="21"/>
          <w:highlight w:val="none"/>
          <w:lang w:eastAsia="zh-CN"/>
        </w:rPr>
        <w:t>中标人应当提供所供设备的随机备件和必备附件、专用工具，并列出详细清单。提供的所有备件应是全新的、未使用过的，并与所需更换的备件完全吻合。这些备件应经过处理和包装，能在工地气候条件下长期有效储存。在每个备件的包装侧面应明显标出备件的名称、用途或标出编号。如果在一箱或其他集装箱内有一种以上的备件，在箱子或集装箱侧面应标明内装备件的概括说明。在箱内应有包装清单。所有箱子、集装箱或其他包装，当要求检查时应容易拆开。同时，包装的设计应便于开启，然后再包装</w:t>
      </w:r>
      <w:bookmarkEnd w:id="0"/>
      <w:r>
        <w:rPr>
          <w:rFonts w:hint="eastAsia" w:ascii="宋体" w:hAnsi="宋体" w:eastAsia="宋体" w:cs="宋体"/>
          <w:color w:val="auto"/>
          <w:highlight w:val="none"/>
          <w:lang w:eastAsia="zh-CN"/>
        </w:rPr>
        <w:t>。</w:t>
      </w:r>
    </w:p>
    <w:p w14:paraId="7D386EC8">
      <w:pPr>
        <w:numPr>
          <w:ilvl w:val="0"/>
          <w:numId w:val="0"/>
        </w:numPr>
        <w:spacing w:line="360" w:lineRule="auto"/>
        <w:jc w:val="left"/>
        <w:outlineLvl w:val="2"/>
        <w:rPr>
          <w:rFonts w:hint="eastAsia" w:ascii="宋体" w:hAnsi="宋体" w:eastAsia="宋体" w:cs="宋体"/>
          <w:b/>
          <w:color w:val="auto"/>
          <w:szCs w:val="21"/>
          <w:highlight w:val="none"/>
          <w:lang w:val="en-US"/>
        </w:rPr>
      </w:pPr>
      <w:r>
        <w:rPr>
          <w:rFonts w:hint="eastAsia" w:ascii="宋体" w:hAnsi="宋体" w:eastAsia="宋体" w:cs="宋体"/>
          <w:b/>
          <w:color w:val="auto"/>
          <w:szCs w:val="21"/>
          <w:highlight w:val="none"/>
          <w:lang w:val="en-US" w:eastAsia="zh-CN"/>
        </w:rPr>
        <w:t>四</w:t>
      </w:r>
      <w:r>
        <w:rPr>
          <w:rFonts w:hint="eastAsia" w:ascii="宋体" w:hAnsi="宋体" w:eastAsia="宋体" w:cs="宋体"/>
          <w:b/>
          <w:color w:val="auto"/>
          <w:szCs w:val="21"/>
          <w:highlight w:val="none"/>
          <w:lang w:val="en-US" w:eastAsia="zh-CN"/>
        </w:rPr>
        <w:t>、</w:t>
      </w:r>
      <w:r>
        <w:rPr>
          <w:rFonts w:hint="eastAsia" w:ascii="宋体" w:hAnsi="宋体" w:eastAsia="宋体" w:cs="宋体"/>
          <w:b/>
          <w:color w:val="auto"/>
          <w:szCs w:val="21"/>
          <w:highlight w:val="none"/>
          <w:lang w:val="en-US"/>
        </w:rPr>
        <w:t>商务要求</w:t>
      </w:r>
    </w:p>
    <w:p w14:paraId="2220F1B0">
      <w:pPr>
        <w:keepNext w:val="0"/>
        <w:keepLines w:val="0"/>
        <w:pageBreakBefore w:val="0"/>
        <w:widowControl w:val="0"/>
        <w:numPr>
          <w:ilvl w:val="-1"/>
          <w:numId w:val="0"/>
        </w:numPr>
        <w:kinsoku/>
        <w:wordWrap/>
        <w:overflowPunct/>
        <w:topLinePunct w:val="0"/>
        <w:autoSpaceDE/>
        <w:autoSpaceDN/>
        <w:bidi w:val="0"/>
        <w:snapToGrid/>
        <w:spacing w:line="360" w:lineRule="auto"/>
        <w:ind w:left="0" w:leftChars="0" w:firstLine="422" w:firstLineChars="200"/>
        <w:jc w:val="left"/>
        <w:textAlignment w:val="auto"/>
        <w:outlineLvl w:val="3"/>
        <w:rPr>
          <w:rFonts w:hint="default" w:ascii="宋体" w:hAnsi="宋体" w:eastAsia="宋体" w:cs="宋体"/>
          <w:b/>
          <w:bCs/>
          <w:color w:val="auto"/>
          <w:szCs w:val="21"/>
          <w:highlight w:val="none"/>
          <w:lang w:val="en-US" w:eastAsia="zh-CN"/>
        </w:rPr>
      </w:pPr>
      <w:r>
        <w:rPr>
          <w:rFonts w:hint="eastAsia" w:cs="宋体"/>
          <w:b/>
          <w:bCs/>
          <w:color w:val="auto"/>
          <w:szCs w:val="21"/>
          <w:highlight w:val="none"/>
          <w:lang w:eastAsia="zh-CN"/>
        </w:rPr>
        <w:t>（</w:t>
      </w:r>
      <w:r>
        <w:rPr>
          <w:rFonts w:hint="eastAsia" w:cs="宋体"/>
          <w:b/>
          <w:bCs/>
          <w:color w:val="auto"/>
          <w:szCs w:val="21"/>
          <w:highlight w:val="none"/>
          <w:lang w:val="en-US" w:eastAsia="zh-CN"/>
        </w:rPr>
        <w:t>一）资格要求</w:t>
      </w:r>
    </w:p>
    <w:p w14:paraId="744E66B5">
      <w:pPr>
        <w:keepNext w:val="0"/>
        <w:keepLines w:val="0"/>
        <w:pageBreakBefore w:val="0"/>
        <w:numPr>
          <w:ilvl w:val="-1"/>
          <w:numId w:val="0"/>
        </w:numPr>
        <w:kinsoku/>
        <w:wordWrap/>
        <w:overflowPunct/>
        <w:topLinePunct w:val="0"/>
        <w:autoSpaceDE/>
        <w:autoSpaceDN/>
        <w:bidi w:val="0"/>
        <w:snapToGrid/>
        <w:spacing w:line="360" w:lineRule="auto"/>
        <w:ind w:firstLine="422" w:firstLineChars="200"/>
        <w:jc w:val="left"/>
        <w:outlineLvl w:val="9"/>
        <w:rPr>
          <w:rFonts w:hint="eastAsia" w:ascii="宋体" w:hAnsi="宋体" w:eastAsia="宋体" w:cs="宋体"/>
          <w:b/>
          <w:bCs/>
          <w:color w:val="auto"/>
          <w:szCs w:val="21"/>
          <w:highlight w:val="none"/>
          <w:lang w:eastAsia="zh-CN"/>
        </w:rPr>
      </w:pPr>
      <w:r>
        <w:rPr>
          <w:rFonts w:hint="eastAsia" w:cs="宋体"/>
          <w:b/>
          <w:bCs/>
          <w:color w:val="auto"/>
          <w:szCs w:val="21"/>
          <w:highlight w:val="none"/>
          <w:lang w:val="en-US" w:eastAsia="zh-CN"/>
        </w:rPr>
        <w:t>见第一章邀请函资格要求。</w:t>
      </w:r>
    </w:p>
    <w:p w14:paraId="2FAD380C">
      <w:pPr>
        <w:keepNext w:val="0"/>
        <w:keepLines w:val="0"/>
        <w:pageBreakBefore w:val="0"/>
        <w:numPr>
          <w:ilvl w:val="-1"/>
          <w:numId w:val="0"/>
        </w:numPr>
        <w:kinsoku/>
        <w:wordWrap/>
        <w:overflowPunct/>
        <w:topLinePunct w:val="0"/>
        <w:autoSpaceDE/>
        <w:autoSpaceDN/>
        <w:bidi w:val="0"/>
        <w:snapToGrid/>
        <w:spacing w:line="360" w:lineRule="auto"/>
        <w:ind w:firstLine="422" w:firstLineChars="200"/>
        <w:jc w:val="left"/>
        <w:outlineLvl w:val="3"/>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二）</w:t>
      </w:r>
      <w:r>
        <w:rPr>
          <w:rFonts w:hint="eastAsia" w:ascii="宋体" w:hAnsi="宋体" w:eastAsia="宋体" w:cs="宋体"/>
          <w:b/>
          <w:bCs/>
          <w:color w:val="auto"/>
          <w:szCs w:val="21"/>
          <w:highlight w:val="none"/>
        </w:rPr>
        <w:t>报价要求</w:t>
      </w:r>
    </w:p>
    <w:p w14:paraId="7C0D64EE">
      <w:pPr>
        <w:keepNext w:val="0"/>
        <w:keepLines w:val="0"/>
        <w:pageBreakBefore w:val="0"/>
        <w:kinsoku/>
        <w:wordWrap/>
        <w:overflowPunct/>
        <w:topLinePunct w:val="0"/>
        <w:autoSpaceDE/>
        <w:autoSpaceDN/>
        <w:bidi w:val="0"/>
        <w:snapToGrid/>
        <w:spacing w:line="360" w:lineRule="auto"/>
        <w:ind w:firstLine="422" w:firstLineChars="200"/>
        <w:jc w:val="left"/>
        <w:outlineLvl w:val="9"/>
        <w:rPr>
          <w:rFonts w:hint="eastAsia" w:ascii="宋体" w:hAnsi="宋体" w:eastAsia="宋体" w:cs="宋体"/>
          <w:b/>
          <w:bCs/>
          <w:color w:val="auto"/>
          <w:szCs w:val="21"/>
          <w:highlight w:val="none"/>
          <w:lang w:eastAsia="zh-CN"/>
        </w:rPr>
      </w:pPr>
    </w:p>
    <w:p w14:paraId="073BF426">
      <w:pPr>
        <w:keepNext w:val="0"/>
        <w:keepLines w:val="0"/>
        <w:pageBreakBefore w:val="0"/>
        <w:numPr>
          <w:ilvl w:val="0"/>
          <w:numId w:val="0"/>
        </w:numPr>
        <w:kinsoku/>
        <w:wordWrap/>
        <w:overflowPunct/>
        <w:topLinePunct w:val="0"/>
        <w:autoSpaceDE/>
        <w:autoSpaceDN/>
        <w:bidi w:val="0"/>
        <w:snapToGrid/>
        <w:spacing w:line="360" w:lineRule="auto"/>
        <w:ind w:firstLine="422" w:firstLineChars="200"/>
        <w:jc w:val="left"/>
        <w:outlineLvl w:val="3"/>
        <w:rPr>
          <w:rFonts w:hint="eastAsia" w:ascii="宋体" w:hAnsi="宋体" w:eastAsia="宋体" w:cs="宋体"/>
          <w:b/>
          <w:bCs/>
          <w:color w:val="auto"/>
          <w:szCs w:val="21"/>
          <w:highlight w:val="none"/>
          <w:lang w:val="en-US"/>
        </w:rPr>
      </w:pP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三）交货期/工期要求</w:t>
      </w:r>
    </w:p>
    <w:p w14:paraId="2DD19224">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cs="宋体"/>
          <w:color w:val="auto"/>
          <w:kern w:val="0"/>
          <w:szCs w:val="21"/>
          <w:highlight w:val="none"/>
        </w:rPr>
        <w:t>★</w:t>
      </w:r>
      <w:r>
        <w:rPr>
          <w:rFonts w:hint="eastAsia" w:ascii="宋体" w:hAnsi="宋体" w:eastAsia="宋体" w:cs="宋体"/>
          <w:color w:val="auto"/>
          <w:sz w:val="21"/>
          <w:szCs w:val="21"/>
          <w:highlight w:val="none"/>
          <w:lang w:val="en-US" w:eastAsia="zh-CN"/>
        </w:rPr>
        <w:t>1.交货时间：</w:t>
      </w:r>
      <w:r>
        <w:rPr>
          <w:rFonts w:hint="eastAsia" w:cs="宋体"/>
          <w:color w:val="auto"/>
          <w:sz w:val="21"/>
          <w:szCs w:val="21"/>
          <w:highlight w:val="none"/>
          <w:lang w:val="en-US" w:eastAsia="zh-CN"/>
        </w:rPr>
        <w:t>2026年9月25日前</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若采购人另行通知其他进场时间，则以采购人通知为准；若采购人通知交货日期晚于本款约定时间，投标人必须无条件满足在新的交货期内全部货物送到采购人指定地点，不得以此为由向采购人索赔任何延期供货费用</w:t>
      </w:r>
      <w:r>
        <w:rPr>
          <w:rFonts w:hint="eastAsia" w:ascii="宋体" w:hAnsi="宋体" w:eastAsia="宋体" w:cs="宋体"/>
          <w:color w:val="auto"/>
          <w:sz w:val="21"/>
          <w:szCs w:val="21"/>
          <w:highlight w:val="none"/>
        </w:rPr>
        <w:t>）</w:t>
      </w:r>
      <w:r>
        <w:rPr>
          <w:rFonts w:hint="eastAsia" w:ascii="宋体" w:hAnsi="宋体" w:eastAsia="宋体" w:cs="宋体"/>
          <w:color w:val="auto"/>
          <w:kern w:val="2"/>
          <w:sz w:val="21"/>
          <w:szCs w:val="21"/>
          <w:highlight w:val="none"/>
          <w:lang w:eastAsia="zh-CN"/>
        </w:rPr>
        <w:t>。</w:t>
      </w:r>
    </w:p>
    <w:p w14:paraId="5B395891">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2.交货地点：</w:t>
      </w:r>
      <w:r>
        <w:rPr>
          <w:rFonts w:hint="eastAsia" w:ascii="Times" w:hAnsi="Times"/>
          <w:color w:val="auto"/>
          <w:szCs w:val="21"/>
          <w:highlight w:val="none"/>
          <w:lang w:val="en-US" w:eastAsia="zh-CN"/>
        </w:rPr>
        <w:t>中标人</w:t>
      </w:r>
      <w:r>
        <w:rPr>
          <w:rFonts w:hint="eastAsia" w:ascii="Times" w:hAnsi="Times"/>
          <w:color w:val="auto"/>
          <w:szCs w:val="21"/>
          <w:highlight w:val="none"/>
        </w:rPr>
        <w:t>应将所有合同</w:t>
      </w:r>
      <w:r>
        <w:rPr>
          <w:rFonts w:hint="eastAsia" w:ascii="Times" w:hAnsi="Times"/>
          <w:color w:val="auto"/>
          <w:szCs w:val="21"/>
          <w:highlight w:val="none"/>
          <w:lang w:val="en-US" w:eastAsia="zh-CN"/>
        </w:rPr>
        <w:t>货物</w:t>
      </w:r>
      <w:r>
        <w:rPr>
          <w:rFonts w:hint="eastAsia" w:ascii="Times" w:hAnsi="Times"/>
          <w:color w:val="auto"/>
          <w:szCs w:val="21"/>
          <w:highlight w:val="none"/>
        </w:rPr>
        <w:t>全部运抵至</w:t>
      </w:r>
      <w:r>
        <w:rPr>
          <w:rFonts w:hint="eastAsia" w:ascii="Times" w:hAnsi="Times"/>
          <w:color w:val="auto"/>
          <w:szCs w:val="21"/>
          <w:highlight w:val="none"/>
          <w:lang w:val="en-US" w:eastAsia="zh-CN"/>
        </w:rPr>
        <w:t>采购人深圳市内指定地点</w:t>
      </w:r>
      <w:r>
        <w:rPr>
          <w:rFonts w:hint="eastAsia" w:ascii="宋体" w:hAnsi="宋体" w:eastAsia="宋体" w:cs="宋体"/>
          <w:color w:val="auto"/>
          <w:sz w:val="21"/>
          <w:szCs w:val="21"/>
          <w:highlight w:val="none"/>
          <w:lang w:val="en-US" w:eastAsia="zh-CN"/>
        </w:rPr>
        <w:t>。</w:t>
      </w:r>
    </w:p>
    <w:p w14:paraId="21FD7052">
      <w:pPr>
        <w:keepNext w:val="0"/>
        <w:keepLines w:val="0"/>
        <w:pageBreakBefore w:val="0"/>
        <w:widowControl w:val="0"/>
        <w:kinsoku/>
        <w:wordWrap/>
        <w:overflowPunct/>
        <w:topLinePunct w:val="0"/>
        <w:autoSpaceDE/>
        <w:autoSpaceDN/>
        <w:bidi w:val="0"/>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w:t>
      </w:r>
      <w:r>
        <w:rPr>
          <w:rFonts w:hint="eastAsia" w:ascii="Times" w:hAnsi="Times"/>
          <w:color w:val="auto"/>
          <w:szCs w:val="21"/>
          <w:highlight w:val="none"/>
        </w:rPr>
        <w:t>涉及到有土建预留、预埋要求的</w:t>
      </w:r>
      <w:r>
        <w:rPr>
          <w:rFonts w:hint="eastAsia" w:ascii="Times" w:hAnsi="Times"/>
          <w:color w:val="auto"/>
          <w:szCs w:val="21"/>
          <w:highlight w:val="none"/>
          <w:lang w:val="en-US" w:eastAsia="zh-CN"/>
        </w:rPr>
        <w:t>货物</w:t>
      </w:r>
      <w:r>
        <w:rPr>
          <w:rFonts w:hint="eastAsia" w:ascii="Times" w:hAnsi="Times"/>
          <w:color w:val="auto"/>
          <w:szCs w:val="21"/>
          <w:highlight w:val="none"/>
        </w:rPr>
        <w:t>，</w:t>
      </w:r>
      <w:r>
        <w:rPr>
          <w:rFonts w:hint="eastAsia" w:ascii="Times" w:hAnsi="Times"/>
          <w:color w:val="auto"/>
          <w:szCs w:val="21"/>
          <w:highlight w:val="none"/>
          <w:lang w:val="en-US" w:eastAsia="zh-CN"/>
        </w:rPr>
        <w:t>中标人</w:t>
      </w:r>
      <w:r>
        <w:rPr>
          <w:rFonts w:hint="eastAsia" w:ascii="Times" w:hAnsi="Times"/>
          <w:color w:val="auto"/>
          <w:szCs w:val="21"/>
          <w:highlight w:val="none"/>
        </w:rPr>
        <w:t>应在</w:t>
      </w:r>
      <w:r>
        <w:rPr>
          <w:rFonts w:hint="eastAsia" w:ascii="Times" w:hAnsi="Times"/>
          <w:color w:val="auto"/>
          <w:szCs w:val="21"/>
          <w:highlight w:val="none"/>
          <w:lang w:val="en-US" w:eastAsia="zh-CN"/>
        </w:rPr>
        <w:t>采购人要求的时间</w:t>
      </w:r>
      <w:r>
        <w:rPr>
          <w:rFonts w:hint="eastAsia" w:ascii="Times" w:hAnsi="Times"/>
          <w:color w:val="auto"/>
          <w:szCs w:val="21"/>
          <w:highlight w:val="none"/>
        </w:rPr>
        <w:t>内提供经</w:t>
      </w:r>
      <w:r>
        <w:rPr>
          <w:rFonts w:hint="eastAsia" w:ascii="Times" w:hAnsi="Times"/>
          <w:color w:val="auto"/>
          <w:szCs w:val="21"/>
          <w:highlight w:val="none"/>
          <w:lang w:val="en-US" w:eastAsia="zh-CN"/>
        </w:rPr>
        <w:t>中标人</w:t>
      </w:r>
      <w:r>
        <w:rPr>
          <w:rFonts w:hint="eastAsia" w:ascii="Times" w:hAnsi="Times"/>
          <w:color w:val="auto"/>
          <w:szCs w:val="21"/>
          <w:highlight w:val="none"/>
        </w:rPr>
        <w:t>技术人员签字盖章确认的基础图、预留孔洞图和安装图，同时</w:t>
      </w:r>
      <w:r>
        <w:rPr>
          <w:rFonts w:hint="eastAsia" w:ascii="Times" w:hAnsi="Times"/>
          <w:color w:val="auto"/>
          <w:szCs w:val="21"/>
          <w:highlight w:val="none"/>
          <w:lang w:val="en-US" w:eastAsia="zh-CN"/>
        </w:rPr>
        <w:t>中标人</w:t>
      </w:r>
      <w:r>
        <w:rPr>
          <w:rFonts w:hint="eastAsia" w:ascii="Times" w:hAnsi="Times"/>
          <w:color w:val="auto"/>
          <w:szCs w:val="21"/>
          <w:highlight w:val="none"/>
        </w:rPr>
        <w:t>有义务派遣技术人员对</w:t>
      </w:r>
      <w:r>
        <w:rPr>
          <w:rFonts w:hint="eastAsia" w:ascii="Times" w:hAnsi="Times"/>
          <w:color w:val="auto"/>
          <w:szCs w:val="21"/>
          <w:highlight w:val="none"/>
          <w:lang w:val="en-US" w:eastAsia="zh-CN"/>
        </w:rPr>
        <w:t>采购人</w:t>
      </w:r>
      <w:r>
        <w:rPr>
          <w:rFonts w:hint="eastAsia" w:ascii="Times" w:hAnsi="Times"/>
          <w:color w:val="auto"/>
          <w:szCs w:val="21"/>
          <w:highlight w:val="none"/>
        </w:rPr>
        <w:t>进行技术交底。</w:t>
      </w:r>
      <w:r>
        <w:rPr>
          <w:rFonts w:hint="eastAsia" w:ascii="Times" w:hAnsi="Times"/>
          <w:color w:val="auto"/>
          <w:szCs w:val="21"/>
          <w:highlight w:val="none"/>
          <w:lang w:val="en-US" w:eastAsia="zh-CN"/>
        </w:rPr>
        <w:t>中标人</w:t>
      </w:r>
      <w:r>
        <w:rPr>
          <w:rFonts w:hint="eastAsia" w:ascii="Times" w:hAnsi="Times"/>
          <w:color w:val="auto"/>
          <w:szCs w:val="21"/>
          <w:highlight w:val="none"/>
        </w:rPr>
        <w:t>所供</w:t>
      </w:r>
      <w:r>
        <w:rPr>
          <w:rFonts w:hint="eastAsia" w:ascii="Times" w:hAnsi="Times"/>
          <w:color w:val="auto"/>
          <w:szCs w:val="21"/>
          <w:highlight w:val="none"/>
          <w:lang w:val="en-US" w:eastAsia="zh-CN"/>
        </w:rPr>
        <w:t>货物</w:t>
      </w:r>
      <w:r>
        <w:rPr>
          <w:rFonts w:hint="eastAsia" w:ascii="Times" w:hAnsi="Times"/>
          <w:color w:val="auto"/>
          <w:szCs w:val="21"/>
          <w:highlight w:val="none"/>
        </w:rPr>
        <w:t>自带的预埋件必须在结构施工中埋入的，应列出清单并</w:t>
      </w:r>
      <w:r>
        <w:rPr>
          <w:rFonts w:hint="eastAsia" w:ascii="Times" w:hAnsi="Times"/>
          <w:color w:val="auto"/>
          <w:szCs w:val="21"/>
          <w:highlight w:val="none"/>
          <w:lang w:val="en-US" w:eastAsia="zh-CN"/>
        </w:rPr>
        <w:t>按采购人要求提前提交</w:t>
      </w:r>
      <w:r>
        <w:rPr>
          <w:rFonts w:hint="eastAsia" w:ascii="Times" w:hAnsi="Times"/>
          <w:color w:val="auto"/>
          <w:szCs w:val="21"/>
          <w:highlight w:val="none"/>
          <w:lang w:eastAsia="zh-CN"/>
        </w:rPr>
        <w:t>。</w:t>
      </w:r>
      <w:r>
        <w:rPr>
          <w:rFonts w:hint="eastAsia" w:ascii="Times" w:hAnsi="Times"/>
          <w:color w:val="auto"/>
          <w:szCs w:val="21"/>
          <w:highlight w:val="none"/>
        </w:rPr>
        <w:t>预埋件发货时间以</w:t>
      </w:r>
      <w:r>
        <w:rPr>
          <w:rFonts w:hint="eastAsia" w:ascii="Times" w:hAnsi="Times"/>
          <w:color w:val="auto"/>
          <w:szCs w:val="21"/>
          <w:highlight w:val="none"/>
          <w:lang w:val="en-US" w:eastAsia="zh-CN"/>
        </w:rPr>
        <w:t>采购人通知</w:t>
      </w:r>
      <w:r>
        <w:rPr>
          <w:rFonts w:hint="eastAsia" w:ascii="Times" w:hAnsi="Times"/>
          <w:color w:val="auto"/>
          <w:szCs w:val="21"/>
          <w:highlight w:val="none"/>
        </w:rPr>
        <w:t>为准</w:t>
      </w:r>
      <w:r>
        <w:rPr>
          <w:rFonts w:hint="eastAsia" w:ascii="宋体" w:hAnsi="宋体" w:eastAsia="宋体" w:cs="宋体"/>
          <w:color w:val="auto"/>
          <w:sz w:val="21"/>
          <w:szCs w:val="21"/>
          <w:highlight w:val="none"/>
          <w:lang w:val="en-US" w:eastAsia="zh-CN"/>
        </w:rPr>
        <w:t>。</w:t>
      </w:r>
    </w:p>
    <w:p w14:paraId="31566B75">
      <w:pPr>
        <w:keepNext w:val="0"/>
        <w:keepLines w:val="0"/>
        <w:pageBreakBefore w:val="0"/>
        <w:widowControl w:val="0"/>
        <w:numPr>
          <w:ilvl w:val="-1"/>
          <w:numId w:val="0"/>
        </w:numPr>
        <w:kinsoku/>
        <w:wordWrap/>
        <w:overflowPunct/>
        <w:topLinePunct w:val="0"/>
        <w:autoSpaceDE/>
        <w:autoSpaceDN/>
        <w:bidi w:val="0"/>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cs="宋体"/>
          <w:color w:val="auto"/>
          <w:sz w:val="21"/>
          <w:szCs w:val="21"/>
          <w:highlight w:val="none"/>
          <w:lang w:val="en-US" w:eastAsia="zh-CN"/>
        </w:rPr>
        <w:t>4.</w:t>
      </w:r>
      <w:r>
        <w:rPr>
          <w:rFonts w:hint="eastAsia" w:ascii="宋体" w:hAnsi="宋体" w:eastAsia="宋体" w:cs="宋体"/>
          <w:color w:val="auto"/>
          <w:szCs w:val="21"/>
          <w:highlight w:val="none"/>
        </w:rPr>
        <w:t>在货物交付</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使用前，货物的所有风险概由</w:t>
      </w: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承担</w:t>
      </w:r>
      <w:r>
        <w:rPr>
          <w:rFonts w:hint="eastAsia" w:ascii="宋体" w:hAnsi="宋体" w:eastAsia="宋体" w:cs="宋体"/>
          <w:color w:val="auto"/>
          <w:sz w:val="21"/>
          <w:szCs w:val="21"/>
          <w:highlight w:val="none"/>
          <w:lang w:val="en-US" w:eastAsia="zh-CN"/>
        </w:rPr>
        <w:t>。</w:t>
      </w:r>
    </w:p>
    <w:p w14:paraId="74A2C287">
      <w:pPr>
        <w:keepNext w:val="0"/>
        <w:keepLines w:val="0"/>
        <w:pageBreakBefore w:val="0"/>
        <w:widowControl w:val="0"/>
        <w:numPr>
          <w:ilvl w:val="-1"/>
          <w:numId w:val="0"/>
        </w:numPr>
        <w:kinsoku/>
        <w:wordWrap/>
        <w:overflowPunct/>
        <w:topLinePunct w:val="0"/>
        <w:autoSpaceDE/>
        <w:autoSpaceDN/>
        <w:bidi w:val="0"/>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r>
        <w:rPr>
          <w:rFonts w:hint="eastAsia" w:cs="宋体"/>
          <w:color w:val="auto"/>
          <w:sz w:val="21"/>
          <w:szCs w:val="21"/>
          <w:highlight w:val="none"/>
          <w:lang w:val="en-US" w:eastAsia="zh-CN"/>
        </w:rPr>
        <w:t>.</w:t>
      </w: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人员应经过必要的安全教育和安全交底，合同有效期内进入</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现场时应遵守国家、深圳市</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水厂</w:t>
      </w:r>
      <w:r>
        <w:rPr>
          <w:rFonts w:hint="eastAsia" w:ascii="宋体" w:hAnsi="宋体" w:eastAsia="宋体" w:cs="宋体"/>
          <w:color w:val="auto"/>
          <w:szCs w:val="21"/>
          <w:highlight w:val="none"/>
        </w:rPr>
        <w:t>及</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有关安全及文明施工的规定，</w:t>
      </w: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必须为其工作人员配备相关安全防护用品，如非因</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原因，</w:t>
      </w: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人员、设备等受到损害的，其责任由</w:t>
      </w: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自行承担</w:t>
      </w:r>
      <w:r>
        <w:rPr>
          <w:rFonts w:hint="eastAsia" w:ascii="宋体" w:hAnsi="宋体" w:eastAsia="宋体" w:cs="宋体"/>
          <w:color w:val="auto"/>
          <w:szCs w:val="21"/>
          <w:highlight w:val="none"/>
          <w:lang w:eastAsia="zh-CN"/>
        </w:rPr>
        <w:t>。</w:t>
      </w:r>
    </w:p>
    <w:p w14:paraId="573D88CD">
      <w:pPr>
        <w:keepNext w:val="0"/>
        <w:keepLines w:val="0"/>
        <w:pageBreakBefore w:val="0"/>
        <w:numPr>
          <w:ilvl w:val="0"/>
          <w:numId w:val="0"/>
        </w:numPr>
        <w:kinsoku/>
        <w:wordWrap/>
        <w:overflowPunct/>
        <w:topLinePunct w:val="0"/>
        <w:autoSpaceDE/>
        <w:autoSpaceDN/>
        <w:bidi w:val="0"/>
        <w:snapToGrid/>
        <w:spacing w:line="360" w:lineRule="auto"/>
        <w:ind w:firstLine="420" w:firstLineChars="200"/>
        <w:jc w:val="left"/>
        <w:outlineLvl w:val="3"/>
        <w:rPr>
          <w:rFonts w:hint="eastAsia" w:ascii="宋体" w:hAnsi="宋体" w:eastAsia="宋体" w:cs="宋体"/>
          <w:b/>
          <w:bCs/>
          <w:color w:val="auto"/>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eastAsia="宋体" w:cs="宋体"/>
          <w:b/>
          <w:bCs/>
          <w:color w:val="auto"/>
          <w:szCs w:val="21"/>
          <w:highlight w:val="none"/>
          <w:lang w:eastAsia="zh-CN"/>
        </w:rPr>
        <w:t>（</w:t>
      </w:r>
      <w:r>
        <w:rPr>
          <w:rFonts w:hint="eastAsia" w:cs="宋体"/>
          <w:b/>
          <w:bCs/>
          <w:color w:val="auto"/>
          <w:szCs w:val="21"/>
          <w:highlight w:val="none"/>
          <w:lang w:val="en-US" w:eastAsia="zh-CN"/>
        </w:rPr>
        <w:t>四</w:t>
      </w:r>
      <w:r>
        <w:rPr>
          <w:rFonts w:hint="eastAsia" w:ascii="宋体" w:hAnsi="宋体" w:eastAsia="宋体" w:cs="宋体"/>
          <w:b/>
          <w:bCs/>
          <w:color w:val="auto"/>
          <w:szCs w:val="21"/>
          <w:highlight w:val="none"/>
          <w:lang w:val="en-US" w:eastAsia="zh-CN"/>
        </w:rPr>
        <w:t>）</w:t>
      </w:r>
      <w:r>
        <w:rPr>
          <w:rFonts w:hint="eastAsia" w:ascii="宋体" w:hAnsi="宋体" w:eastAsia="宋体" w:cs="宋体"/>
          <w:b/>
          <w:bCs/>
          <w:color w:val="auto"/>
          <w:szCs w:val="21"/>
          <w:highlight w:val="none"/>
        </w:rPr>
        <w:t>付款方式</w:t>
      </w:r>
    </w:p>
    <w:p w14:paraId="743718A8">
      <w:pPr>
        <w:keepNext w:val="0"/>
        <w:keepLines w:val="0"/>
        <w:pageBreakBefore w:val="0"/>
        <w:widowControl w:val="0"/>
        <w:kinsoku/>
        <w:wordWrap/>
        <w:overflowPunct/>
        <w:topLinePunct w:val="0"/>
        <w:autoSpaceDE/>
        <w:autoSpaceDN/>
        <w:bidi w:val="0"/>
        <w:adjustRightInd w:val="0"/>
        <w:snapToGrid/>
        <w:spacing w:line="360" w:lineRule="auto"/>
        <w:ind w:left="0" w:leftChars="0" w:firstLine="420" w:firstLineChars="200"/>
        <w:textAlignment w:val="auto"/>
        <w:rPr>
          <w:rFonts w:hint="default" w:ascii="宋体" w:hAnsi="宋体" w:eastAsia="宋体" w:cs="宋体"/>
          <w:color w:val="auto"/>
          <w:sz w:val="21"/>
          <w:szCs w:val="21"/>
          <w:highlight w:val="none"/>
          <w:lang w:val="en-US" w:eastAsia="zh-CN"/>
        </w:rPr>
      </w:pPr>
      <w:r>
        <w:rPr>
          <w:rFonts w:hint="eastAsia" w:cs="宋体"/>
          <w:color w:val="auto"/>
          <w:sz w:val="21"/>
          <w:szCs w:val="21"/>
          <w:highlight w:val="none"/>
          <w:lang w:val="en-US" w:eastAsia="zh-CN"/>
        </w:rPr>
        <w:t>合同为总价包干，但在实施过程中因业主方调整导致实际供货设备数量较合同清单数量有减少的，合同价格做相应调减。</w:t>
      </w:r>
    </w:p>
    <w:p w14:paraId="0F222184">
      <w:pPr>
        <w:keepNext w:val="0"/>
        <w:keepLines w:val="0"/>
        <w:pageBreakBefore w:val="0"/>
        <w:widowControl w:val="0"/>
        <w:kinsoku/>
        <w:wordWrap/>
        <w:overflowPunct/>
        <w:topLinePunct w:val="0"/>
        <w:autoSpaceDE/>
        <w:autoSpaceDN/>
        <w:bidi w:val="0"/>
        <w:adjustRightInd w:val="0"/>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1.进度款支付方式如下：</w:t>
      </w:r>
    </w:p>
    <w:p w14:paraId="76435978">
      <w:pPr>
        <w:keepNext w:val="0"/>
        <w:keepLines w:val="0"/>
        <w:pageBreakBefore w:val="0"/>
        <w:widowControl w:val="0"/>
        <w:kinsoku/>
        <w:wordWrap/>
        <w:overflowPunct/>
        <w:topLinePunct w:val="0"/>
        <w:autoSpaceDE/>
        <w:autoSpaceDN/>
        <w:bidi w:val="0"/>
        <w:adjustRightInd w:val="0"/>
        <w:snapToGrid/>
        <w:spacing w:line="360" w:lineRule="auto"/>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预付款</w:t>
      </w:r>
      <w:r>
        <w:rPr>
          <w:rFonts w:hint="eastAsia" w:ascii="宋体" w:hAnsi="宋体" w:eastAsia="宋体" w:cs="宋体"/>
          <w:color w:val="auto"/>
          <w:sz w:val="21"/>
          <w:szCs w:val="21"/>
          <w:highlight w:val="none"/>
          <w:lang w:eastAsia="zh-CN"/>
        </w:rPr>
        <w:t>：</w:t>
      </w:r>
      <w:r>
        <w:rPr>
          <w:rFonts w:hint="eastAsia" w:ascii="宋体" w:hAnsi="宋体" w:eastAsia="宋体" w:cs="宋体"/>
          <w:bCs/>
          <w:color w:val="auto"/>
          <w:sz w:val="21"/>
          <w:szCs w:val="21"/>
          <w:highlight w:val="none"/>
        </w:rPr>
        <w:t>合同签订后，采购人收到供应商</w:t>
      </w:r>
      <w:r>
        <w:rPr>
          <w:rFonts w:hint="eastAsia" w:ascii="宋体" w:hAnsi="宋体" w:eastAsia="宋体" w:cs="宋体"/>
          <w:bCs/>
          <w:color w:val="auto"/>
          <w:sz w:val="21"/>
          <w:szCs w:val="21"/>
          <w:highlight w:val="none"/>
          <w:lang w:val="en-US" w:eastAsia="zh-CN"/>
        </w:rPr>
        <w:t>提供的合同金额10%出具的履约担保及</w:t>
      </w:r>
      <w:r>
        <w:rPr>
          <w:rFonts w:hint="eastAsia" w:ascii="宋体" w:hAnsi="宋体" w:eastAsia="宋体" w:cs="宋体"/>
          <w:bCs/>
          <w:color w:val="auto"/>
          <w:sz w:val="21"/>
          <w:szCs w:val="21"/>
          <w:highlight w:val="none"/>
        </w:rPr>
        <w:t>付款申请后</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支付合同总价的</w:t>
      </w:r>
      <w:r>
        <w:rPr>
          <w:rFonts w:hint="eastAsia" w:ascii="宋体" w:hAnsi="宋体" w:eastAsia="宋体" w:cs="宋体"/>
          <w:bCs/>
          <w:color w:val="auto"/>
          <w:sz w:val="21"/>
          <w:szCs w:val="21"/>
          <w:highlight w:val="none"/>
          <w:lang w:val="en-US" w:eastAsia="zh-CN"/>
        </w:rPr>
        <w:t>30</w:t>
      </w:r>
      <w:r>
        <w:rPr>
          <w:rFonts w:hint="eastAsia" w:ascii="宋体" w:hAnsi="宋体" w:eastAsia="宋体" w:cs="宋体"/>
          <w:bCs/>
          <w:color w:val="auto"/>
          <w:sz w:val="21"/>
          <w:szCs w:val="21"/>
          <w:highlight w:val="none"/>
        </w:rPr>
        <w:t>%作预付款。</w:t>
      </w:r>
    </w:p>
    <w:p w14:paraId="174A43E2">
      <w:pPr>
        <w:keepNext w:val="0"/>
        <w:keepLines w:val="0"/>
        <w:pageBreakBefore w:val="0"/>
        <w:widowControl w:val="0"/>
        <w:kinsoku/>
        <w:wordWrap/>
        <w:overflowPunct/>
        <w:topLinePunct w:val="0"/>
        <w:autoSpaceDE/>
        <w:autoSpaceDN/>
        <w:bidi w:val="0"/>
        <w:adjustRightInd w:val="0"/>
        <w:snapToGrid/>
        <w:spacing w:line="360" w:lineRule="auto"/>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（2）货到付款</w:t>
      </w:r>
      <w:r>
        <w:rPr>
          <w:rFonts w:hint="eastAsia" w:ascii="宋体" w:hAnsi="宋体" w:eastAsia="宋体" w:cs="宋体"/>
          <w:color w:val="auto"/>
          <w:sz w:val="21"/>
          <w:szCs w:val="21"/>
          <w:highlight w:val="none"/>
          <w:lang w:eastAsia="zh-CN"/>
        </w:rPr>
        <w:t>：</w:t>
      </w:r>
      <w:r>
        <w:rPr>
          <w:rFonts w:hint="eastAsia" w:ascii="宋体" w:hAnsi="宋体" w:eastAsia="宋体" w:cs="宋体"/>
          <w:bCs/>
          <w:color w:val="auto"/>
          <w:sz w:val="21"/>
          <w:szCs w:val="21"/>
          <w:highlight w:val="none"/>
          <w:lang w:val="en-US" w:eastAsia="zh-CN"/>
        </w:rPr>
        <w:t>货到现场开箱验收合格后</w:t>
      </w:r>
      <w:r>
        <w:rPr>
          <w:rFonts w:hint="eastAsia" w:ascii="宋体" w:hAnsi="宋体" w:eastAsia="宋体" w:cs="宋体"/>
          <w:bCs/>
          <w:color w:val="auto"/>
          <w:sz w:val="21"/>
          <w:szCs w:val="21"/>
          <w:highlight w:val="none"/>
        </w:rPr>
        <w:t>，支付</w:t>
      </w:r>
      <w:r>
        <w:rPr>
          <w:rFonts w:hint="eastAsia" w:ascii="宋体" w:hAnsi="宋体" w:eastAsia="宋体" w:cs="宋体"/>
          <w:bCs/>
          <w:color w:val="auto"/>
          <w:sz w:val="21"/>
          <w:szCs w:val="21"/>
          <w:highlight w:val="none"/>
          <w:lang w:val="en-US" w:eastAsia="zh-CN"/>
        </w:rPr>
        <w:t>至合同价款</w:t>
      </w:r>
      <w:r>
        <w:rPr>
          <w:rFonts w:hint="eastAsia" w:ascii="宋体" w:hAnsi="宋体" w:eastAsia="宋体" w:cs="宋体"/>
          <w:bCs/>
          <w:color w:val="auto"/>
          <w:sz w:val="21"/>
          <w:szCs w:val="21"/>
          <w:highlight w:val="none"/>
        </w:rPr>
        <w:t>的60%</w:t>
      </w:r>
      <w:r>
        <w:rPr>
          <w:rFonts w:hint="eastAsia" w:ascii="宋体" w:hAnsi="宋体" w:eastAsia="宋体" w:cs="宋体"/>
          <w:bCs/>
          <w:color w:val="auto"/>
          <w:sz w:val="21"/>
          <w:szCs w:val="21"/>
          <w:highlight w:val="none"/>
          <w:lang w:eastAsia="zh-CN"/>
        </w:rPr>
        <w:t>。</w:t>
      </w:r>
    </w:p>
    <w:p w14:paraId="13C1AD35">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3）调试验收款</w:t>
      </w:r>
      <w:r>
        <w:rPr>
          <w:rFonts w:hint="eastAsia" w:ascii="宋体" w:hAnsi="宋体" w:eastAsia="宋体" w:cs="宋体"/>
          <w:bCs/>
          <w:color w:val="auto"/>
          <w:sz w:val="21"/>
          <w:szCs w:val="21"/>
          <w:highlight w:val="none"/>
        </w:rPr>
        <w:t>：合同货物</w:t>
      </w:r>
      <w:r>
        <w:rPr>
          <w:rFonts w:hint="eastAsia" w:ascii="宋体" w:hAnsi="宋体" w:eastAsia="宋体" w:cs="宋体"/>
          <w:bCs/>
          <w:color w:val="auto"/>
          <w:sz w:val="21"/>
          <w:szCs w:val="21"/>
          <w:highlight w:val="none"/>
          <w:lang w:val="en-US" w:eastAsia="zh-CN"/>
        </w:rPr>
        <w:t>全部</w:t>
      </w:r>
      <w:r>
        <w:rPr>
          <w:rFonts w:hint="eastAsia" w:ascii="宋体" w:hAnsi="宋体" w:eastAsia="宋体" w:cs="宋体"/>
          <w:bCs/>
          <w:color w:val="auto"/>
          <w:sz w:val="21"/>
          <w:szCs w:val="21"/>
          <w:highlight w:val="none"/>
        </w:rPr>
        <w:t>安装</w:t>
      </w:r>
      <w:r>
        <w:rPr>
          <w:rFonts w:hint="eastAsia" w:ascii="宋体" w:hAnsi="宋体" w:eastAsia="宋体" w:cs="宋体"/>
          <w:bCs/>
          <w:color w:val="auto"/>
          <w:sz w:val="21"/>
          <w:szCs w:val="21"/>
          <w:highlight w:val="none"/>
          <w:lang w:val="en-US" w:eastAsia="zh-CN"/>
        </w:rPr>
        <w:t>到位、调试试运行完成</w:t>
      </w:r>
      <w:r>
        <w:rPr>
          <w:rFonts w:hint="eastAsia" w:ascii="宋体" w:hAnsi="宋体" w:eastAsia="宋体" w:cs="宋体"/>
          <w:bCs/>
          <w:color w:val="auto"/>
          <w:sz w:val="21"/>
          <w:szCs w:val="21"/>
          <w:highlight w:val="none"/>
        </w:rPr>
        <w:t>，并</w:t>
      </w:r>
      <w:r>
        <w:rPr>
          <w:rFonts w:hint="eastAsia" w:ascii="宋体" w:hAnsi="宋体" w:eastAsia="宋体" w:cs="宋体"/>
          <w:bCs/>
          <w:color w:val="auto"/>
          <w:sz w:val="21"/>
          <w:szCs w:val="21"/>
          <w:highlight w:val="none"/>
          <w:lang w:val="en-US" w:eastAsia="zh-CN"/>
        </w:rPr>
        <w:t>通过功能</w:t>
      </w:r>
      <w:r>
        <w:rPr>
          <w:rFonts w:hint="eastAsia" w:ascii="宋体" w:hAnsi="宋体" w:eastAsia="宋体" w:cs="宋体"/>
          <w:bCs/>
          <w:color w:val="auto"/>
          <w:sz w:val="21"/>
          <w:szCs w:val="21"/>
          <w:highlight w:val="none"/>
        </w:rPr>
        <w:t>验收</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双方签署验收合格报告后，支付</w:t>
      </w:r>
      <w:r>
        <w:rPr>
          <w:rFonts w:hint="eastAsia" w:ascii="宋体" w:hAnsi="宋体" w:eastAsia="宋体" w:cs="宋体"/>
          <w:bCs/>
          <w:color w:val="auto"/>
          <w:sz w:val="21"/>
          <w:szCs w:val="21"/>
          <w:highlight w:val="none"/>
          <w:lang w:val="en-US" w:eastAsia="zh-CN"/>
        </w:rPr>
        <w:t>至</w:t>
      </w:r>
      <w:r>
        <w:rPr>
          <w:rFonts w:hint="eastAsia" w:ascii="宋体" w:hAnsi="宋体" w:eastAsia="宋体" w:cs="宋体"/>
          <w:bCs/>
          <w:color w:val="auto"/>
          <w:sz w:val="21"/>
          <w:szCs w:val="21"/>
          <w:highlight w:val="none"/>
        </w:rPr>
        <w:t>合同</w:t>
      </w:r>
      <w:r>
        <w:rPr>
          <w:rFonts w:hint="eastAsia" w:ascii="宋体" w:hAnsi="宋体" w:eastAsia="宋体" w:cs="宋体"/>
          <w:bCs/>
          <w:color w:val="auto"/>
          <w:sz w:val="21"/>
          <w:szCs w:val="21"/>
          <w:highlight w:val="none"/>
          <w:lang w:val="en-US" w:eastAsia="zh-CN"/>
        </w:rPr>
        <w:t>价款</w:t>
      </w:r>
      <w:r>
        <w:rPr>
          <w:rFonts w:hint="eastAsia" w:ascii="宋体" w:hAnsi="宋体" w:eastAsia="宋体" w:cs="宋体"/>
          <w:bCs/>
          <w:color w:val="auto"/>
          <w:sz w:val="21"/>
          <w:szCs w:val="21"/>
          <w:highlight w:val="none"/>
        </w:rPr>
        <w:t>的</w:t>
      </w:r>
      <w:r>
        <w:rPr>
          <w:rFonts w:hint="eastAsia" w:ascii="宋体" w:hAnsi="宋体" w:eastAsia="宋体" w:cs="宋体"/>
          <w:bCs/>
          <w:color w:val="auto"/>
          <w:sz w:val="21"/>
          <w:szCs w:val="21"/>
          <w:highlight w:val="none"/>
          <w:lang w:val="en-US" w:eastAsia="zh-CN"/>
        </w:rPr>
        <w:t>85</w:t>
      </w:r>
      <w:r>
        <w:rPr>
          <w:rFonts w:hint="eastAsia" w:ascii="宋体" w:hAnsi="宋体" w:eastAsia="宋体" w:cs="宋体"/>
          <w:bCs/>
          <w:color w:val="auto"/>
          <w:sz w:val="21"/>
          <w:szCs w:val="21"/>
          <w:highlight w:val="none"/>
        </w:rPr>
        <w:t>%。</w:t>
      </w:r>
    </w:p>
    <w:p w14:paraId="07D42A3C">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4）竣工验收款</w:t>
      </w: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项目竣工验收合格后，支付至合同价款的97%</w:t>
      </w:r>
      <w:r>
        <w:rPr>
          <w:rFonts w:hint="eastAsia" w:ascii="宋体" w:hAnsi="宋体" w:eastAsia="宋体" w:cs="宋体"/>
          <w:bCs/>
          <w:color w:val="auto"/>
          <w:sz w:val="21"/>
          <w:szCs w:val="21"/>
          <w:highlight w:val="none"/>
          <w:lang w:eastAsia="zh-CN"/>
        </w:rPr>
        <w:t>。</w:t>
      </w:r>
    </w:p>
    <w:p w14:paraId="4EFFDAED">
      <w:pPr>
        <w:snapToGrid w:val="0"/>
        <w:spacing w:line="360" w:lineRule="auto"/>
        <w:ind w:firstLine="420" w:firstLineChars="200"/>
        <w:jc w:val="left"/>
        <w:rPr>
          <w:rFonts w:hint="eastAsia"/>
          <w:bCs/>
          <w:color w:val="auto"/>
          <w:szCs w:val="15"/>
          <w:highlight w:val="none"/>
          <w:lang w:val="en-US" w:eastAsia="zh-CN"/>
        </w:rPr>
      </w:pP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5）</w:t>
      </w:r>
      <w:r>
        <w:rPr>
          <w:rFonts w:hint="eastAsia" w:ascii="宋体" w:hAnsi="宋体" w:eastAsia="宋体" w:cs="宋体"/>
          <w:bCs/>
          <w:color w:val="auto"/>
          <w:sz w:val="21"/>
          <w:szCs w:val="21"/>
          <w:highlight w:val="none"/>
        </w:rPr>
        <w:t>质保</w:t>
      </w:r>
      <w:r>
        <w:rPr>
          <w:rFonts w:hint="eastAsia" w:ascii="宋体" w:hAnsi="宋体" w:eastAsia="宋体" w:cs="宋体"/>
          <w:bCs/>
          <w:color w:val="auto"/>
          <w:sz w:val="21"/>
          <w:szCs w:val="21"/>
          <w:highlight w:val="none"/>
          <w:lang w:val="en-US" w:eastAsia="zh-CN"/>
        </w:rPr>
        <w:t>金</w:t>
      </w: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合同价款的3%为质保金，质保</w:t>
      </w:r>
      <w:r>
        <w:rPr>
          <w:rFonts w:hint="eastAsia" w:ascii="宋体" w:hAnsi="宋体" w:eastAsia="宋体" w:cs="宋体"/>
          <w:bCs/>
          <w:color w:val="auto"/>
          <w:sz w:val="21"/>
          <w:szCs w:val="21"/>
          <w:highlight w:val="none"/>
        </w:rPr>
        <w:t>期满</w:t>
      </w:r>
      <w:r>
        <w:rPr>
          <w:rFonts w:hint="eastAsia" w:ascii="宋体" w:hAnsi="宋体" w:eastAsia="宋体" w:cs="宋体"/>
          <w:bCs/>
          <w:color w:val="auto"/>
          <w:sz w:val="21"/>
          <w:szCs w:val="21"/>
          <w:highlight w:val="none"/>
          <w:lang w:val="en-US" w:eastAsia="zh-CN"/>
        </w:rPr>
        <w:t>且供应商</w:t>
      </w:r>
      <w:r>
        <w:rPr>
          <w:rFonts w:hint="eastAsia" w:ascii="宋体" w:hAnsi="宋体" w:eastAsia="宋体" w:cs="宋体"/>
          <w:bCs/>
          <w:color w:val="auto"/>
          <w:sz w:val="21"/>
          <w:szCs w:val="21"/>
          <w:highlight w:val="none"/>
        </w:rPr>
        <w:t>已完成</w:t>
      </w:r>
      <w:r>
        <w:rPr>
          <w:rFonts w:hint="eastAsia" w:ascii="宋体" w:hAnsi="宋体" w:eastAsia="宋体" w:cs="宋体"/>
          <w:bCs/>
          <w:color w:val="auto"/>
          <w:sz w:val="21"/>
          <w:szCs w:val="21"/>
          <w:highlight w:val="none"/>
          <w:lang w:val="en-US" w:eastAsia="zh-CN"/>
        </w:rPr>
        <w:t>全部</w:t>
      </w:r>
      <w:r>
        <w:rPr>
          <w:rFonts w:hint="eastAsia" w:ascii="宋体" w:hAnsi="宋体" w:eastAsia="宋体" w:cs="宋体"/>
          <w:bCs/>
          <w:color w:val="auto"/>
          <w:sz w:val="21"/>
          <w:szCs w:val="21"/>
          <w:highlight w:val="none"/>
        </w:rPr>
        <w:t>维保任务，</w:t>
      </w:r>
      <w:r>
        <w:rPr>
          <w:rFonts w:hint="eastAsia" w:ascii="宋体" w:hAnsi="宋体" w:eastAsia="宋体" w:cs="宋体"/>
          <w:bCs/>
          <w:color w:val="auto"/>
          <w:sz w:val="21"/>
          <w:szCs w:val="21"/>
          <w:highlight w:val="none"/>
          <w:lang w:val="en-US" w:eastAsia="zh-CN"/>
        </w:rPr>
        <w:t>且无争议后无息付清</w:t>
      </w:r>
      <w:r>
        <w:rPr>
          <w:rFonts w:hint="eastAsia" w:ascii="宋体" w:hAnsi="宋体" w:eastAsia="宋体" w:cs="宋体"/>
          <w:bCs/>
          <w:color w:val="auto"/>
          <w:sz w:val="21"/>
          <w:szCs w:val="21"/>
          <w:highlight w:val="none"/>
        </w:rPr>
        <w:t>。</w:t>
      </w:r>
    </w:p>
    <w:p w14:paraId="6589B87D">
      <w:pPr>
        <w:snapToGrid w:val="0"/>
        <w:spacing w:line="360" w:lineRule="auto"/>
        <w:ind w:firstLine="420" w:firstLineChars="200"/>
        <w:jc w:val="left"/>
        <w:rPr>
          <w:rFonts w:hint="eastAsia"/>
          <w:bCs/>
          <w:color w:val="auto"/>
          <w:szCs w:val="15"/>
          <w:highlight w:val="none"/>
          <w:lang w:val="en-US" w:eastAsia="zh-CN"/>
        </w:rPr>
      </w:pPr>
      <w:r>
        <w:rPr>
          <w:rFonts w:hint="eastAsia"/>
          <w:bCs/>
          <w:color w:val="auto"/>
          <w:szCs w:val="15"/>
          <w:highlight w:val="none"/>
          <w:lang w:val="en-US" w:eastAsia="zh-CN"/>
        </w:rPr>
        <w:t>2.上述每笔款项支付前，供应商应向采购人提供符合采购人财务制度的正式合法、增值税专用发票及请款资料（供应商的支付申请、货物出厂检验通过证明、开箱验货合格报告、进口部件的原产地证书和进口证明、各付款节点对应的相关方签字确认的验收等资料及其他采购人要求的请款资料），否则采购人有权拒绝支付合同全部款项，且不承担任何违约责任。</w:t>
      </w:r>
    </w:p>
    <w:p w14:paraId="2F0543A5">
      <w:pPr>
        <w:snapToGrid w:val="0"/>
        <w:spacing w:line="360" w:lineRule="auto"/>
        <w:ind w:firstLine="420" w:firstLineChars="200"/>
        <w:jc w:val="left"/>
        <w:rPr>
          <w:rFonts w:hint="eastAsia"/>
          <w:bCs/>
          <w:color w:val="auto"/>
          <w:szCs w:val="15"/>
          <w:highlight w:val="none"/>
        </w:rPr>
      </w:pPr>
      <w:r>
        <w:rPr>
          <w:rFonts w:hint="eastAsia"/>
          <w:bCs/>
          <w:color w:val="auto"/>
          <w:szCs w:val="15"/>
          <w:highlight w:val="none"/>
          <w:lang w:val="en-US" w:eastAsia="zh-CN"/>
        </w:rPr>
        <w:t>3.</w:t>
      </w:r>
      <w:r>
        <w:rPr>
          <w:rFonts w:hint="eastAsia"/>
          <w:bCs/>
          <w:color w:val="auto"/>
          <w:szCs w:val="15"/>
          <w:highlight w:val="none"/>
        </w:rPr>
        <w:t>如供应商根据本合同约定需向采购人支付违约金或其他赔偿时，采购人在通知供应商后，有权从上述付款中扣除该款项。</w:t>
      </w:r>
    </w:p>
    <w:p w14:paraId="45D92FA1">
      <w:pPr>
        <w:numPr>
          <w:ilvl w:val="0"/>
          <w:numId w:val="0"/>
        </w:numPr>
        <w:snapToGrid/>
        <w:spacing w:before="157" w:beforeLines="50" w:after="157" w:afterLines="50"/>
        <w:ind w:firstLine="422" w:firstLineChars="200"/>
        <w:outlineLvl w:val="3"/>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eastAsia="zh-CN"/>
        </w:rPr>
        <w:t>（</w:t>
      </w:r>
      <w:r>
        <w:rPr>
          <w:rFonts w:hint="eastAsia" w:cs="宋体"/>
          <w:b/>
          <w:bCs/>
          <w:color w:val="auto"/>
          <w:szCs w:val="21"/>
          <w:highlight w:val="none"/>
          <w:lang w:val="en-US" w:eastAsia="zh-CN"/>
        </w:rPr>
        <w:t>五</w:t>
      </w:r>
      <w:r>
        <w:rPr>
          <w:rFonts w:hint="eastAsia" w:ascii="宋体" w:hAnsi="宋体" w:eastAsia="宋体" w:cs="宋体"/>
          <w:b/>
          <w:bCs/>
          <w:color w:val="auto"/>
          <w:szCs w:val="21"/>
          <w:highlight w:val="none"/>
          <w:lang w:val="en-US" w:eastAsia="zh-CN"/>
        </w:rPr>
        <w:t>）</w:t>
      </w:r>
      <w:r>
        <w:rPr>
          <w:rFonts w:hint="eastAsia" w:ascii="宋体" w:hAnsi="宋体" w:eastAsia="宋体" w:cs="宋体"/>
          <w:b/>
          <w:bCs/>
          <w:color w:val="auto"/>
          <w:szCs w:val="21"/>
          <w:highlight w:val="none"/>
        </w:rPr>
        <w:t>包装</w:t>
      </w:r>
      <w:r>
        <w:rPr>
          <w:rFonts w:hint="eastAsia" w:ascii="宋体" w:hAnsi="宋体" w:eastAsia="宋体" w:cs="宋体"/>
          <w:b/>
          <w:bCs/>
          <w:color w:val="auto"/>
          <w:szCs w:val="21"/>
          <w:highlight w:val="none"/>
          <w:lang w:val="en-US" w:eastAsia="zh-CN"/>
        </w:rPr>
        <w:t>要求</w:t>
      </w:r>
    </w:p>
    <w:p w14:paraId="710A84A8">
      <w:pPr>
        <w:numPr>
          <w:ilvl w:val="0"/>
          <w:numId w:val="9"/>
        </w:numPr>
        <w:snapToGrid w:val="0"/>
        <w:spacing w:line="360" w:lineRule="auto"/>
        <w:ind w:firstLine="420" w:firstLineChars="200"/>
        <w:jc w:val="left"/>
        <w:rPr>
          <w:rFonts w:hint="eastAsia" w:ascii="宋体" w:hAnsi="宋体" w:eastAsia="宋体" w:cs="Times New Roman"/>
          <w:bCs/>
          <w:color w:val="auto"/>
          <w:szCs w:val="15"/>
          <w:highlight w:val="none"/>
        </w:rPr>
      </w:pPr>
      <w:r>
        <w:rPr>
          <w:rFonts w:hint="eastAsia" w:ascii="宋体" w:hAnsi="宋体" w:eastAsia="宋体" w:cs="Times New Roman"/>
          <w:bCs/>
          <w:color w:val="auto"/>
          <w:szCs w:val="15"/>
          <w:highlight w:val="none"/>
        </w:rPr>
        <w:t>供应商应提供货物运至合同约定的最终目的地所需要的包装，以防止货物在运输过程中损坏或变质。包装应采取防震、抗压及防止其它损坏的必要保护措施，从而保护货物能够经受多次搬运、装卸及长途运输。</w:t>
      </w:r>
    </w:p>
    <w:p w14:paraId="14A865A3">
      <w:pPr>
        <w:numPr>
          <w:ilvl w:val="0"/>
          <w:numId w:val="9"/>
        </w:numPr>
        <w:snapToGrid w:val="0"/>
        <w:spacing w:line="360" w:lineRule="auto"/>
        <w:ind w:firstLine="420" w:firstLineChars="200"/>
        <w:jc w:val="left"/>
        <w:rPr>
          <w:rFonts w:hint="eastAsia" w:ascii="宋体" w:hAnsi="宋体" w:eastAsia="宋体" w:cs="Times New Roman"/>
          <w:bCs/>
          <w:color w:val="auto"/>
          <w:szCs w:val="15"/>
          <w:highlight w:val="none"/>
        </w:rPr>
      </w:pPr>
      <w:r>
        <w:rPr>
          <w:rFonts w:hint="eastAsia" w:ascii="宋体" w:hAnsi="宋体" w:eastAsia="宋体" w:cs="Times New Roman"/>
          <w:bCs/>
          <w:color w:val="auto"/>
          <w:szCs w:val="15"/>
          <w:highlight w:val="none"/>
        </w:rPr>
        <w:t>供应商应承担由于其包装或防护措施不当而引起货物锈蚀、损坏和丢失的任何损失的责任或费用。</w:t>
      </w:r>
    </w:p>
    <w:p w14:paraId="77C1FC1C">
      <w:pPr>
        <w:numPr>
          <w:ilvl w:val="0"/>
          <w:numId w:val="0"/>
        </w:numPr>
        <w:snapToGrid/>
        <w:spacing w:before="157" w:beforeLines="50" w:after="157" w:afterLines="50"/>
        <w:ind w:firstLine="422" w:firstLineChars="200"/>
        <w:outlineLvl w:val="3"/>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eastAsia="zh-CN"/>
        </w:rPr>
        <w:t>（</w:t>
      </w:r>
      <w:r>
        <w:rPr>
          <w:rFonts w:hint="eastAsia" w:cs="宋体"/>
          <w:b/>
          <w:bCs/>
          <w:color w:val="auto"/>
          <w:szCs w:val="21"/>
          <w:highlight w:val="none"/>
          <w:lang w:val="en-US" w:eastAsia="zh-CN"/>
        </w:rPr>
        <w:t>六</w:t>
      </w:r>
      <w:r>
        <w:rPr>
          <w:rFonts w:hint="eastAsia" w:ascii="宋体" w:hAnsi="宋体" w:eastAsia="宋体" w:cs="宋体"/>
          <w:b/>
          <w:bCs/>
          <w:color w:val="auto"/>
          <w:szCs w:val="21"/>
          <w:highlight w:val="none"/>
          <w:lang w:val="en-US" w:eastAsia="zh-CN"/>
        </w:rPr>
        <w:t>）</w:t>
      </w:r>
      <w:r>
        <w:rPr>
          <w:rFonts w:hint="eastAsia" w:ascii="宋体" w:hAnsi="宋体" w:eastAsia="宋体" w:cs="宋体"/>
          <w:b/>
          <w:bCs/>
          <w:color w:val="auto"/>
          <w:szCs w:val="21"/>
          <w:highlight w:val="none"/>
        </w:rPr>
        <w:t>装运</w:t>
      </w:r>
    </w:p>
    <w:p w14:paraId="029D2211">
      <w:pPr>
        <w:numPr>
          <w:ilvl w:val="0"/>
          <w:numId w:val="10"/>
        </w:numPr>
        <w:snapToGrid w:val="0"/>
        <w:spacing w:line="360" w:lineRule="auto"/>
        <w:ind w:firstLine="420" w:firstLineChars="200"/>
        <w:jc w:val="left"/>
        <w:rPr>
          <w:rFonts w:hint="eastAsia"/>
          <w:bCs/>
          <w:color w:val="auto"/>
          <w:szCs w:val="15"/>
          <w:highlight w:val="none"/>
        </w:rPr>
      </w:pPr>
      <w:r>
        <w:rPr>
          <w:rFonts w:hint="eastAsia"/>
          <w:bCs/>
          <w:color w:val="auto"/>
          <w:szCs w:val="15"/>
          <w:highlight w:val="none"/>
        </w:rPr>
        <w:t>供应商负责安排运输并承担运输费、保险费等相关费用。货物发运前，供应商应至少提前7天以书面形式通知采购人有关合同号、货物名称、数量、毛重、总体积（立方米）、发票金额、运输工具名称、发运日期及预计抵达日期等情况，并提出合理的现场存放条件以便采购人提前做好准备。</w:t>
      </w:r>
    </w:p>
    <w:p w14:paraId="06B0082E">
      <w:pPr>
        <w:numPr>
          <w:ilvl w:val="0"/>
          <w:numId w:val="10"/>
        </w:numPr>
        <w:snapToGrid w:val="0"/>
        <w:spacing w:line="360" w:lineRule="auto"/>
        <w:ind w:firstLine="420" w:firstLineChars="200"/>
        <w:jc w:val="left"/>
        <w:rPr>
          <w:rFonts w:hint="eastAsia"/>
          <w:bCs/>
          <w:color w:val="auto"/>
          <w:szCs w:val="15"/>
          <w:highlight w:val="none"/>
        </w:rPr>
      </w:pPr>
      <w:r>
        <w:rPr>
          <w:rFonts w:hint="eastAsia"/>
          <w:bCs/>
          <w:color w:val="auto"/>
          <w:szCs w:val="15"/>
          <w:highlight w:val="none"/>
        </w:rPr>
        <w:t>供应商应在货物装运后24小时内以书面形式将合同号、货物名称、数量、箱数、毛重、体积和启运日期通知采购人。</w:t>
      </w:r>
    </w:p>
    <w:p w14:paraId="6F21AA40">
      <w:pPr>
        <w:numPr>
          <w:ilvl w:val="0"/>
          <w:numId w:val="10"/>
        </w:numPr>
        <w:snapToGrid w:val="0"/>
        <w:spacing w:line="360" w:lineRule="auto"/>
        <w:ind w:firstLine="420" w:firstLineChars="200"/>
        <w:jc w:val="left"/>
        <w:rPr>
          <w:rFonts w:hint="eastAsia"/>
          <w:bCs/>
          <w:color w:val="auto"/>
          <w:szCs w:val="15"/>
          <w:highlight w:val="none"/>
        </w:rPr>
      </w:pPr>
      <w:r>
        <w:rPr>
          <w:rFonts w:hint="eastAsia"/>
          <w:bCs/>
          <w:color w:val="auto"/>
          <w:szCs w:val="15"/>
          <w:highlight w:val="none"/>
        </w:rPr>
        <w:t>供应商交由承运人运输的在途货物，毁损、灭失的风险由供应商承担。</w:t>
      </w:r>
    </w:p>
    <w:p w14:paraId="347E4DBE">
      <w:pPr>
        <w:numPr>
          <w:ilvl w:val="0"/>
          <w:numId w:val="10"/>
        </w:numPr>
        <w:snapToGrid w:val="0"/>
        <w:spacing w:line="360" w:lineRule="auto"/>
        <w:ind w:firstLine="420" w:firstLineChars="200"/>
        <w:jc w:val="left"/>
        <w:rPr>
          <w:rFonts w:hint="eastAsia"/>
          <w:bCs/>
          <w:color w:val="auto"/>
          <w:szCs w:val="15"/>
          <w:highlight w:val="none"/>
        </w:rPr>
      </w:pPr>
      <w:r>
        <w:rPr>
          <w:rFonts w:hint="eastAsia"/>
          <w:bCs/>
          <w:color w:val="auto"/>
          <w:szCs w:val="15"/>
          <w:highlight w:val="none"/>
        </w:rPr>
        <w:t>供应商必须将送货地址、行车路线等详细告知承运人，如果交接现场无供应商人员，采购人有权不予配合。</w:t>
      </w:r>
    </w:p>
    <w:p w14:paraId="4ECAC911">
      <w:pPr>
        <w:numPr>
          <w:ilvl w:val="0"/>
          <w:numId w:val="10"/>
        </w:numPr>
        <w:snapToGrid w:val="0"/>
        <w:spacing w:line="360" w:lineRule="auto"/>
        <w:ind w:firstLine="420" w:firstLineChars="200"/>
        <w:jc w:val="left"/>
        <w:rPr>
          <w:rFonts w:hint="eastAsia"/>
          <w:bCs/>
          <w:color w:val="auto"/>
          <w:szCs w:val="15"/>
          <w:highlight w:val="none"/>
        </w:rPr>
      </w:pPr>
      <w:r>
        <w:rPr>
          <w:rFonts w:hint="eastAsia"/>
          <w:bCs/>
          <w:color w:val="auto"/>
          <w:szCs w:val="15"/>
          <w:highlight w:val="none"/>
        </w:rPr>
        <w:t>对于特殊物品（易燃、易爆、有毒物品及其它危险品和运输过程中对温度等环境温度和震动有特殊要求的设备或物品）必须特别标明其品名、性质、特殊保护措施、保存方法以及处理意外情况的方法。</w:t>
      </w:r>
    </w:p>
    <w:p w14:paraId="2D8CDDB1">
      <w:pPr>
        <w:numPr>
          <w:ilvl w:val="0"/>
          <w:numId w:val="0"/>
        </w:numPr>
        <w:snapToGrid/>
        <w:spacing w:before="157" w:beforeLines="50" w:after="157" w:afterLines="50"/>
        <w:ind w:firstLine="422" w:firstLineChars="200"/>
        <w:outlineLvl w:val="3"/>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七）</w:t>
      </w:r>
      <w:r>
        <w:rPr>
          <w:rFonts w:hint="eastAsia" w:ascii="宋体" w:hAnsi="宋体" w:eastAsia="宋体" w:cs="宋体"/>
          <w:b/>
          <w:bCs/>
          <w:color w:val="auto"/>
          <w:szCs w:val="21"/>
          <w:highlight w:val="none"/>
        </w:rPr>
        <w:t>交货</w:t>
      </w:r>
    </w:p>
    <w:p w14:paraId="4A9F318A">
      <w:pPr>
        <w:numPr>
          <w:ilvl w:val="0"/>
          <w:numId w:val="11"/>
        </w:numPr>
        <w:snapToGrid w:val="0"/>
        <w:spacing w:line="360" w:lineRule="auto"/>
        <w:ind w:firstLine="420" w:firstLineChars="200"/>
        <w:jc w:val="left"/>
        <w:rPr>
          <w:rFonts w:hint="eastAsia"/>
          <w:bCs/>
          <w:color w:val="auto"/>
          <w:szCs w:val="15"/>
          <w:highlight w:val="none"/>
        </w:rPr>
      </w:pPr>
      <w:r>
        <w:rPr>
          <w:rFonts w:hint="eastAsia"/>
          <w:bCs/>
          <w:color w:val="auto"/>
          <w:szCs w:val="15"/>
          <w:highlight w:val="none"/>
          <w:lang w:val="en-US" w:eastAsia="zh-CN"/>
        </w:rPr>
        <w:t>2026年9月25日前</w:t>
      </w:r>
      <w:r>
        <w:rPr>
          <w:rFonts w:hint="eastAsia"/>
          <w:bCs/>
          <w:color w:val="auto"/>
          <w:szCs w:val="15"/>
          <w:highlight w:val="none"/>
        </w:rPr>
        <w:t>（含二次深化设计）供应商须将货物运抵采购人指定交货地点。自所有货物均到货之日起</w:t>
      </w:r>
      <w:r>
        <w:rPr>
          <w:rFonts w:hint="eastAsia"/>
          <w:b/>
          <w:color w:val="auto"/>
          <w:szCs w:val="15"/>
          <w:highlight w:val="none"/>
          <w:lang w:val="en-US" w:eastAsia="zh-CN"/>
        </w:rPr>
        <w:t xml:space="preserve">    </w:t>
      </w:r>
      <w:r>
        <w:rPr>
          <w:rFonts w:hint="eastAsia"/>
          <w:bCs/>
          <w:color w:val="auto"/>
          <w:szCs w:val="15"/>
          <w:highlight w:val="none"/>
        </w:rPr>
        <w:t>日历天内根据采购人项目进度要求完成对应货物指导安装、调试、培训并试运行，达到验收标准。</w:t>
      </w:r>
    </w:p>
    <w:p w14:paraId="4AEDDC02">
      <w:pPr>
        <w:numPr>
          <w:ilvl w:val="0"/>
          <w:numId w:val="11"/>
        </w:numPr>
        <w:snapToGrid w:val="0"/>
        <w:spacing w:line="360" w:lineRule="auto"/>
        <w:ind w:firstLine="420" w:firstLineChars="200"/>
        <w:jc w:val="left"/>
        <w:rPr>
          <w:rFonts w:hint="eastAsia"/>
          <w:bCs/>
          <w:color w:val="auto"/>
          <w:szCs w:val="15"/>
          <w:highlight w:val="none"/>
        </w:rPr>
      </w:pPr>
      <w:r>
        <w:rPr>
          <w:rFonts w:hint="eastAsia"/>
          <w:bCs/>
          <w:color w:val="auto"/>
          <w:szCs w:val="15"/>
          <w:highlight w:val="none"/>
        </w:rPr>
        <w:t>合同设备交货时，供应商应提供</w:t>
      </w:r>
      <w:r>
        <w:rPr>
          <w:rFonts w:hint="eastAsia"/>
          <w:bCs/>
          <w:color w:val="auto"/>
          <w:szCs w:val="15"/>
          <w:highlight w:val="none"/>
          <w:lang w:val="en-US" w:eastAsia="zh-CN"/>
        </w:rPr>
        <w:t>全套技术</w:t>
      </w:r>
      <w:r>
        <w:rPr>
          <w:rFonts w:hint="eastAsia"/>
          <w:bCs/>
          <w:color w:val="auto"/>
          <w:szCs w:val="15"/>
          <w:highlight w:val="none"/>
        </w:rPr>
        <w:t>资料，包括但不限于下述文件1份（同时提供电子版）装箱单、检测报告、图纸、说明书、操作维护手册。进口设备还须提交报关单、原产地证明以及图文资料的中文译本。</w:t>
      </w:r>
    </w:p>
    <w:p w14:paraId="49864927">
      <w:pPr>
        <w:numPr>
          <w:ilvl w:val="0"/>
          <w:numId w:val="11"/>
        </w:numPr>
        <w:snapToGrid w:val="0"/>
        <w:spacing w:line="360" w:lineRule="auto"/>
        <w:ind w:firstLine="420" w:firstLineChars="200"/>
        <w:jc w:val="left"/>
        <w:rPr>
          <w:rFonts w:hint="eastAsia"/>
          <w:bCs/>
          <w:color w:val="auto"/>
          <w:szCs w:val="15"/>
          <w:highlight w:val="none"/>
        </w:rPr>
      </w:pPr>
      <w:r>
        <w:rPr>
          <w:rFonts w:hint="eastAsia"/>
          <w:bCs/>
          <w:color w:val="auto"/>
          <w:szCs w:val="15"/>
          <w:highlight w:val="none"/>
        </w:rPr>
        <w:t>约定交货地点以采购人书面通知为准，货物运抵项目现场移交后的保管责任由采购人负责，采购人或其指定的安装单位应按供应商通知单上列明的存放条件做好货物的现场保管工作，若供应商为安装单位，则现场保管工作由供应商负责。</w:t>
      </w:r>
    </w:p>
    <w:p w14:paraId="73C573DB">
      <w:pPr>
        <w:numPr>
          <w:ilvl w:val="0"/>
          <w:numId w:val="11"/>
        </w:numPr>
        <w:snapToGrid w:val="0"/>
        <w:spacing w:line="360" w:lineRule="auto"/>
        <w:ind w:firstLine="420" w:firstLineChars="200"/>
        <w:jc w:val="left"/>
        <w:rPr>
          <w:rFonts w:hint="eastAsia"/>
          <w:bCs/>
          <w:color w:val="auto"/>
          <w:szCs w:val="15"/>
          <w:highlight w:val="none"/>
        </w:rPr>
      </w:pPr>
      <w:r>
        <w:rPr>
          <w:rFonts w:hint="eastAsia"/>
          <w:bCs/>
          <w:color w:val="auto"/>
          <w:szCs w:val="15"/>
          <w:highlight w:val="none"/>
        </w:rPr>
        <w:t>采购人有权根据工程建设实际情况对供应商供货期做出调整，供应商充分知悉并对此无异议：若采购人根据工程建设实际情况延长供应商供货期，合同总工期可以顺延，采购人不予补偿供应商任何费用。</w:t>
      </w:r>
    </w:p>
    <w:p w14:paraId="0B9E3C2C">
      <w:pPr>
        <w:numPr>
          <w:ilvl w:val="0"/>
          <w:numId w:val="0"/>
        </w:numPr>
        <w:snapToGrid/>
        <w:spacing w:before="157" w:beforeLines="50" w:after="157" w:afterLines="50"/>
        <w:ind w:firstLine="422" w:firstLineChars="200"/>
        <w:outlineLvl w:val="3"/>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eastAsia="zh-CN"/>
        </w:rPr>
        <w:t>（</w:t>
      </w:r>
      <w:r>
        <w:rPr>
          <w:rFonts w:hint="eastAsia" w:cs="宋体"/>
          <w:b/>
          <w:bCs/>
          <w:color w:val="auto"/>
          <w:szCs w:val="21"/>
          <w:highlight w:val="none"/>
          <w:lang w:val="en-US" w:eastAsia="zh-CN"/>
        </w:rPr>
        <w:t>八</w:t>
      </w:r>
      <w:r>
        <w:rPr>
          <w:rFonts w:hint="eastAsia" w:ascii="宋体" w:hAnsi="宋体" w:eastAsia="宋体" w:cs="宋体"/>
          <w:b/>
          <w:bCs/>
          <w:color w:val="auto"/>
          <w:szCs w:val="21"/>
          <w:highlight w:val="none"/>
          <w:lang w:val="en-US" w:eastAsia="zh-CN"/>
        </w:rPr>
        <w:t>）</w:t>
      </w:r>
      <w:r>
        <w:rPr>
          <w:rFonts w:hint="eastAsia" w:ascii="宋体" w:hAnsi="宋体" w:eastAsia="宋体" w:cs="宋体"/>
          <w:b/>
          <w:bCs/>
          <w:color w:val="auto"/>
          <w:szCs w:val="21"/>
          <w:highlight w:val="none"/>
        </w:rPr>
        <w:t>检验</w:t>
      </w:r>
    </w:p>
    <w:p w14:paraId="5511F058">
      <w:pPr>
        <w:numPr>
          <w:ilvl w:val="0"/>
          <w:numId w:val="12"/>
        </w:numPr>
        <w:snapToGrid w:val="0"/>
        <w:spacing w:line="360" w:lineRule="auto"/>
        <w:ind w:firstLine="420" w:firstLineChars="200"/>
        <w:jc w:val="left"/>
        <w:rPr>
          <w:rFonts w:hint="eastAsia"/>
          <w:bCs/>
          <w:color w:val="auto"/>
          <w:szCs w:val="15"/>
          <w:highlight w:val="none"/>
        </w:rPr>
      </w:pPr>
      <w:r>
        <w:rPr>
          <w:rFonts w:hint="eastAsia"/>
          <w:bCs/>
          <w:color w:val="auto"/>
          <w:szCs w:val="15"/>
          <w:highlight w:val="none"/>
        </w:rPr>
        <w:t>工厂检验</w:t>
      </w:r>
    </w:p>
    <w:p w14:paraId="0F2133AA">
      <w:pPr>
        <w:pStyle w:val="34"/>
        <w:numPr>
          <w:ilvl w:val="0"/>
          <w:numId w:val="13"/>
        </w:numPr>
        <w:snapToGrid w:val="0"/>
        <w:spacing w:line="360" w:lineRule="auto"/>
        <w:ind w:left="0" w:firstLine="420" w:firstLineChars="0"/>
        <w:jc w:val="left"/>
        <w:rPr>
          <w:rFonts w:hint="eastAsia"/>
          <w:bCs/>
          <w:color w:val="auto"/>
          <w:szCs w:val="15"/>
          <w:highlight w:val="none"/>
        </w:rPr>
      </w:pPr>
      <w:r>
        <w:rPr>
          <w:rFonts w:hint="eastAsia"/>
          <w:bCs/>
          <w:color w:val="auto"/>
          <w:szCs w:val="15"/>
          <w:highlight w:val="none"/>
        </w:rPr>
        <w:t>在交货前，供应商应对所有合同货物的质量、规格、性能、数量等按照技术规范要求进行严格的检验，并出具检验结果、数据和正式的出厂合格证书。出厂合格证书不作为货物的最终检验依据。</w:t>
      </w:r>
    </w:p>
    <w:p w14:paraId="0D17F6DB">
      <w:pPr>
        <w:pStyle w:val="34"/>
        <w:numPr>
          <w:ilvl w:val="0"/>
          <w:numId w:val="13"/>
        </w:numPr>
        <w:snapToGrid w:val="0"/>
        <w:spacing w:line="360" w:lineRule="auto"/>
        <w:ind w:left="5" w:firstLine="415" w:firstLineChars="0"/>
        <w:jc w:val="left"/>
        <w:rPr>
          <w:rFonts w:hint="eastAsia" w:ascii="Times New Roman" w:hAnsi="宋体" w:eastAsia="宋体" w:cs="Times New Roman"/>
          <w:bCs/>
          <w:color w:val="auto"/>
          <w:szCs w:val="15"/>
          <w:highlight w:val="none"/>
        </w:rPr>
      </w:pPr>
      <w:r>
        <w:rPr>
          <w:rFonts w:hint="eastAsia" w:ascii="Times New Roman" w:hAnsi="宋体" w:eastAsia="宋体" w:cs="Times New Roman"/>
          <w:bCs/>
          <w:color w:val="auto"/>
          <w:szCs w:val="15"/>
          <w:highlight w:val="none"/>
        </w:rPr>
        <w:t>发货前检验：采购人有权对主要产品进行发货前的检验，供应商应邀请不少于3人的采购人人员到供应商工厂检查制造工艺、原材料质量和产品质量以及产品出厂试验（但不作为最终验收），检查合格产品才允许出厂。供应商应为采购人上述检查提供便利条件，相关手续、行程、费用等全部由供应商承担。设备验货、设计联络、技术培训的费用（含医疗、安全保险费等）已包含在签约合同价中，时间安排在合同签订时或另行协商确定。</w:t>
      </w:r>
    </w:p>
    <w:p w14:paraId="74233E46">
      <w:pPr>
        <w:numPr>
          <w:ilvl w:val="0"/>
          <w:numId w:val="12"/>
        </w:numPr>
        <w:snapToGrid w:val="0"/>
        <w:spacing w:line="360" w:lineRule="auto"/>
        <w:ind w:firstLine="420" w:firstLineChars="200"/>
        <w:jc w:val="left"/>
        <w:rPr>
          <w:rFonts w:hint="eastAsia" w:ascii="宋体" w:hAnsi="宋体" w:eastAsia="宋体" w:cs="Times New Roman"/>
          <w:bCs/>
          <w:color w:val="auto"/>
          <w:szCs w:val="15"/>
          <w:highlight w:val="none"/>
        </w:rPr>
      </w:pPr>
      <w:r>
        <w:rPr>
          <w:rFonts w:hint="eastAsia" w:ascii="宋体" w:hAnsi="宋体" w:eastAsia="宋体" w:cs="Times New Roman"/>
          <w:bCs/>
          <w:color w:val="auto"/>
          <w:szCs w:val="15"/>
          <w:highlight w:val="none"/>
        </w:rPr>
        <w:t>商品检验</w:t>
      </w:r>
    </w:p>
    <w:p w14:paraId="255057C7">
      <w:pPr>
        <w:pStyle w:val="34"/>
        <w:numPr>
          <w:ilvl w:val="0"/>
          <w:numId w:val="14"/>
        </w:numPr>
        <w:snapToGrid w:val="0"/>
        <w:spacing w:line="360" w:lineRule="auto"/>
        <w:ind w:left="5" w:firstLine="415" w:firstLineChars="0"/>
        <w:jc w:val="left"/>
        <w:rPr>
          <w:rFonts w:hint="eastAsia" w:ascii="Times New Roman" w:hAnsi="宋体" w:eastAsia="宋体" w:cs="Times New Roman"/>
          <w:bCs/>
          <w:color w:val="auto"/>
          <w:szCs w:val="15"/>
          <w:highlight w:val="none"/>
        </w:rPr>
      </w:pPr>
      <w:r>
        <w:rPr>
          <w:rFonts w:hint="eastAsia" w:ascii="Times New Roman" w:hAnsi="宋体" w:eastAsia="宋体" w:cs="Times New Roman"/>
          <w:bCs/>
          <w:color w:val="auto"/>
          <w:szCs w:val="15"/>
          <w:highlight w:val="none"/>
        </w:rPr>
        <w:t>属法定检验商品，供应商负责商检的全部事宜并承担全部费用。</w:t>
      </w:r>
    </w:p>
    <w:p w14:paraId="27780D75">
      <w:pPr>
        <w:pStyle w:val="34"/>
        <w:numPr>
          <w:ilvl w:val="0"/>
          <w:numId w:val="14"/>
        </w:numPr>
        <w:snapToGrid w:val="0"/>
        <w:spacing w:line="360" w:lineRule="auto"/>
        <w:ind w:left="0" w:firstLine="415" w:firstLineChars="0"/>
        <w:jc w:val="left"/>
        <w:rPr>
          <w:rFonts w:hint="eastAsia" w:ascii="Times New Roman" w:hAnsi="宋体" w:eastAsia="宋体" w:cs="Times New Roman"/>
          <w:bCs/>
          <w:color w:val="auto"/>
          <w:szCs w:val="15"/>
          <w:highlight w:val="none"/>
        </w:rPr>
      </w:pPr>
      <w:r>
        <w:rPr>
          <w:rFonts w:hint="eastAsia" w:ascii="Times New Roman" w:hAnsi="宋体" w:eastAsia="宋体" w:cs="Times New Roman"/>
          <w:bCs/>
          <w:color w:val="auto"/>
          <w:szCs w:val="15"/>
          <w:highlight w:val="none"/>
        </w:rPr>
        <w:t>对于非法定检验商品，到货后由采购人、监理、施工方、供应商共同检验。采购人有权指定商检机构或者第三方检测机构进行检验鉴定，相关费用由供应商承担。</w:t>
      </w:r>
    </w:p>
    <w:p w14:paraId="6DB17A41">
      <w:pPr>
        <w:pStyle w:val="34"/>
        <w:numPr>
          <w:ilvl w:val="0"/>
          <w:numId w:val="14"/>
        </w:numPr>
        <w:snapToGrid w:val="0"/>
        <w:spacing w:line="360" w:lineRule="auto"/>
        <w:ind w:left="0" w:firstLine="415" w:firstLineChars="0"/>
        <w:jc w:val="left"/>
        <w:rPr>
          <w:rFonts w:hint="eastAsia" w:ascii="Times New Roman" w:hAnsi="宋体" w:eastAsia="宋体" w:cs="Times New Roman"/>
          <w:bCs/>
          <w:color w:val="auto"/>
          <w:szCs w:val="15"/>
          <w:highlight w:val="none"/>
        </w:rPr>
      </w:pPr>
      <w:r>
        <w:rPr>
          <w:rFonts w:hint="eastAsia" w:ascii="Times New Roman" w:hAnsi="宋体" w:eastAsia="宋体" w:cs="Times New Roman"/>
          <w:bCs/>
          <w:color w:val="auto"/>
          <w:szCs w:val="15"/>
          <w:highlight w:val="none"/>
        </w:rPr>
        <w:t>供应商必须安排专人负责合同设备的清点、试验等现场交接事宜。</w:t>
      </w:r>
    </w:p>
    <w:p w14:paraId="3FECD39D">
      <w:pPr>
        <w:numPr>
          <w:ilvl w:val="0"/>
          <w:numId w:val="12"/>
        </w:numPr>
        <w:snapToGrid w:val="0"/>
        <w:spacing w:line="360" w:lineRule="auto"/>
        <w:ind w:firstLine="420" w:firstLineChars="200"/>
        <w:jc w:val="left"/>
        <w:rPr>
          <w:rFonts w:hint="eastAsia" w:ascii="宋体" w:hAnsi="宋体" w:eastAsia="宋体" w:cs="Times New Roman"/>
          <w:bCs/>
          <w:color w:val="auto"/>
          <w:szCs w:val="15"/>
          <w:highlight w:val="none"/>
        </w:rPr>
      </w:pPr>
      <w:r>
        <w:rPr>
          <w:rFonts w:hint="eastAsia" w:ascii="宋体" w:hAnsi="宋体" w:eastAsia="宋体" w:cs="Times New Roman"/>
          <w:bCs/>
          <w:color w:val="auto"/>
          <w:szCs w:val="15"/>
          <w:highlight w:val="none"/>
        </w:rPr>
        <w:t>到货检验</w:t>
      </w:r>
    </w:p>
    <w:p w14:paraId="070527D5">
      <w:pPr>
        <w:pStyle w:val="34"/>
        <w:numPr>
          <w:ilvl w:val="0"/>
          <w:numId w:val="15"/>
        </w:numPr>
        <w:snapToGrid w:val="0"/>
        <w:spacing w:line="360" w:lineRule="auto"/>
        <w:ind w:left="0" w:firstLine="415" w:firstLineChars="0"/>
        <w:jc w:val="left"/>
        <w:rPr>
          <w:rFonts w:hint="eastAsia" w:ascii="Times New Roman" w:hAnsi="宋体" w:eastAsia="宋体" w:cs="Times New Roman"/>
          <w:bCs/>
          <w:color w:val="auto"/>
          <w:szCs w:val="15"/>
          <w:highlight w:val="none"/>
        </w:rPr>
      </w:pPr>
      <w:r>
        <w:rPr>
          <w:rFonts w:hint="eastAsia" w:ascii="Times New Roman" w:hAnsi="宋体" w:eastAsia="宋体" w:cs="Times New Roman"/>
          <w:bCs/>
          <w:color w:val="auto"/>
          <w:szCs w:val="15"/>
          <w:highlight w:val="none"/>
        </w:rPr>
        <w:t>货物到达项目现场后，须由采购人、供应商、施工单位、监理单位等四方组成的验收小组，与采购人一起检验。采购人有权通过仪器设备进行现场检测，如发现货物由于供应商原因（包括运输）有任何损坏、缺陷、短少或不符合合同中规定的质量标准和规范时，由供应商处理解决，并应做好记录，由四方代表签字，各执一份，作为采购人向供应商提出修理和/或更换和/或索赔的依据。同时，采购人有权指定商检机构进行检验鉴定，相关费用由供应商承担。</w:t>
      </w:r>
    </w:p>
    <w:p w14:paraId="76F71FF2">
      <w:pPr>
        <w:pStyle w:val="34"/>
        <w:numPr>
          <w:ilvl w:val="0"/>
          <w:numId w:val="15"/>
        </w:numPr>
        <w:snapToGrid w:val="0"/>
        <w:spacing w:line="360" w:lineRule="auto"/>
        <w:ind w:left="0" w:firstLine="415" w:firstLineChars="0"/>
        <w:jc w:val="left"/>
        <w:rPr>
          <w:rFonts w:hint="eastAsia" w:ascii="Times New Roman" w:hAnsi="宋体" w:eastAsia="宋体" w:cs="Times New Roman"/>
          <w:bCs/>
          <w:color w:val="auto"/>
          <w:szCs w:val="15"/>
          <w:highlight w:val="none"/>
        </w:rPr>
      </w:pPr>
      <w:r>
        <w:rPr>
          <w:rFonts w:hint="eastAsia" w:ascii="Times New Roman" w:hAnsi="宋体" w:eastAsia="宋体" w:cs="Times New Roman"/>
          <w:bCs/>
          <w:color w:val="auto"/>
          <w:szCs w:val="15"/>
          <w:highlight w:val="none"/>
        </w:rPr>
        <w:t>供应商应派遣检验人员参加现场检验工作，采购人应为供应商检验人员提供工作方便。如检验时，供应商人员未按时赴现场，采购人有权自行开箱检验，检验结果和记录对双方同样有效，并作为采购人向供应商提出索赔的有效证据。</w:t>
      </w:r>
    </w:p>
    <w:p w14:paraId="72E93993">
      <w:pPr>
        <w:pStyle w:val="34"/>
        <w:numPr>
          <w:ilvl w:val="0"/>
          <w:numId w:val="15"/>
        </w:numPr>
        <w:snapToGrid w:val="0"/>
        <w:spacing w:line="360" w:lineRule="auto"/>
        <w:ind w:left="0" w:firstLine="415" w:firstLineChars="0"/>
        <w:jc w:val="left"/>
        <w:rPr>
          <w:rFonts w:hint="eastAsia" w:ascii="Times New Roman" w:hAnsi="宋体" w:eastAsia="宋体" w:cs="Times New Roman"/>
          <w:bCs/>
          <w:color w:val="auto"/>
          <w:szCs w:val="15"/>
          <w:highlight w:val="none"/>
        </w:rPr>
      </w:pPr>
      <w:r>
        <w:rPr>
          <w:rFonts w:hint="eastAsia" w:ascii="Times New Roman" w:hAnsi="宋体" w:eastAsia="宋体" w:cs="Times New Roman"/>
          <w:bCs/>
          <w:color w:val="auto"/>
          <w:szCs w:val="15"/>
          <w:highlight w:val="none"/>
        </w:rPr>
        <w:t>供应商还应提交一份完整的（包括单台设备和整套系统）检验办法和验收标准。作为采购人的验收依据。</w:t>
      </w:r>
    </w:p>
    <w:p w14:paraId="5D35D139">
      <w:pPr>
        <w:numPr>
          <w:ilvl w:val="0"/>
          <w:numId w:val="0"/>
        </w:numPr>
        <w:snapToGrid/>
        <w:spacing w:before="157" w:beforeLines="50" w:after="157" w:afterLines="50"/>
        <w:ind w:firstLine="422" w:firstLineChars="200"/>
        <w:outlineLvl w:val="3"/>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eastAsia="zh-CN"/>
        </w:rPr>
        <w:t>（</w:t>
      </w:r>
      <w:r>
        <w:rPr>
          <w:rFonts w:hint="eastAsia" w:cs="宋体"/>
          <w:b/>
          <w:bCs/>
          <w:color w:val="auto"/>
          <w:szCs w:val="21"/>
          <w:highlight w:val="none"/>
          <w:lang w:val="en-US" w:eastAsia="zh-CN"/>
        </w:rPr>
        <w:t>九</w:t>
      </w:r>
      <w:r>
        <w:rPr>
          <w:rFonts w:hint="eastAsia" w:ascii="宋体" w:hAnsi="宋体" w:eastAsia="宋体" w:cs="宋体"/>
          <w:b/>
          <w:bCs/>
          <w:color w:val="auto"/>
          <w:szCs w:val="21"/>
          <w:highlight w:val="none"/>
          <w:lang w:val="en-US" w:eastAsia="zh-CN"/>
        </w:rPr>
        <w:t>）</w:t>
      </w:r>
      <w:r>
        <w:rPr>
          <w:rFonts w:hint="eastAsia" w:ascii="宋体" w:hAnsi="宋体" w:eastAsia="宋体" w:cs="宋体"/>
          <w:b/>
          <w:bCs/>
          <w:color w:val="auto"/>
          <w:szCs w:val="21"/>
          <w:highlight w:val="none"/>
        </w:rPr>
        <w:t>指导安装、调试与验收</w:t>
      </w:r>
    </w:p>
    <w:p w14:paraId="6FE08F10">
      <w:pPr>
        <w:numPr>
          <w:ilvl w:val="0"/>
          <w:numId w:val="16"/>
        </w:numPr>
        <w:snapToGrid w:val="0"/>
        <w:spacing w:line="360" w:lineRule="auto"/>
        <w:ind w:firstLine="420" w:firstLineChars="200"/>
        <w:jc w:val="left"/>
        <w:rPr>
          <w:rFonts w:hint="eastAsia"/>
          <w:bCs/>
          <w:color w:val="auto"/>
          <w:szCs w:val="15"/>
          <w:highlight w:val="none"/>
        </w:rPr>
      </w:pPr>
      <w:r>
        <w:rPr>
          <w:rFonts w:hint="eastAsia"/>
          <w:bCs/>
          <w:color w:val="auto"/>
          <w:szCs w:val="15"/>
          <w:highlight w:val="none"/>
        </w:rPr>
        <w:t>供应商负责合同中设备的指导安装和调试。</w:t>
      </w:r>
    </w:p>
    <w:p w14:paraId="0E1390D0">
      <w:pPr>
        <w:numPr>
          <w:ilvl w:val="0"/>
          <w:numId w:val="16"/>
        </w:numPr>
        <w:snapToGrid w:val="0"/>
        <w:spacing w:line="360" w:lineRule="auto"/>
        <w:ind w:firstLine="420" w:firstLineChars="200"/>
        <w:rPr>
          <w:rFonts w:hint="eastAsia"/>
          <w:bCs/>
          <w:color w:val="auto"/>
          <w:szCs w:val="15"/>
          <w:highlight w:val="none"/>
        </w:rPr>
      </w:pPr>
      <w:r>
        <w:rPr>
          <w:rFonts w:hint="eastAsia"/>
          <w:bCs/>
          <w:color w:val="auto"/>
          <w:szCs w:val="15"/>
          <w:highlight w:val="none"/>
        </w:rPr>
        <w:t>采购人提前5个工作日通知供应商到场进行指导安装和调试，供应商必须按照采购人要求指派专业人员按时到场（项目负责人及至少1名有经验的现场工程师必须同时在场），由供应商进行设备指导安装、分部试运、调试和启动，并协助解决合同设备在安装调试、试运行中发现的制造质量及性能等有关问题，直到设备正常运行。如果指导安装调试现场供应商人员不按时到场，延误调试进度及工期进度，采购人将在履约评价中进行相应扣分，履约评价结果将按照采购人内部规章制度处理。</w:t>
      </w:r>
    </w:p>
    <w:p w14:paraId="35FA9826">
      <w:pPr>
        <w:numPr>
          <w:ilvl w:val="0"/>
          <w:numId w:val="16"/>
        </w:numPr>
        <w:snapToGrid w:val="0"/>
        <w:spacing w:line="360" w:lineRule="auto"/>
        <w:ind w:firstLine="420" w:firstLineChars="200"/>
        <w:jc w:val="left"/>
        <w:rPr>
          <w:rFonts w:hint="eastAsia"/>
          <w:bCs/>
          <w:color w:val="auto"/>
          <w:szCs w:val="15"/>
          <w:highlight w:val="none"/>
        </w:rPr>
      </w:pPr>
      <w:r>
        <w:rPr>
          <w:rFonts w:hint="eastAsia"/>
          <w:bCs/>
          <w:color w:val="auto"/>
          <w:szCs w:val="15"/>
          <w:highlight w:val="none"/>
        </w:rPr>
        <w:t>供应商派出的技术人员应自备在指导安装调试过程中所需的特殊工具和专用仪器仪表等。</w:t>
      </w:r>
    </w:p>
    <w:p w14:paraId="248BD54B">
      <w:pPr>
        <w:numPr>
          <w:ilvl w:val="0"/>
          <w:numId w:val="16"/>
        </w:numPr>
        <w:snapToGrid w:val="0"/>
        <w:spacing w:line="360" w:lineRule="auto"/>
        <w:ind w:firstLine="420" w:firstLineChars="200"/>
        <w:jc w:val="left"/>
        <w:rPr>
          <w:rFonts w:hint="eastAsia"/>
          <w:bCs/>
          <w:color w:val="auto"/>
          <w:szCs w:val="15"/>
          <w:highlight w:val="none"/>
        </w:rPr>
      </w:pPr>
      <w:r>
        <w:rPr>
          <w:rFonts w:hint="eastAsia"/>
          <w:bCs/>
          <w:color w:val="auto"/>
          <w:szCs w:val="15"/>
          <w:highlight w:val="none"/>
        </w:rPr>
        <w:t>所有合同设备均应在安装后按照技术规范要求进行调试，以证明其适用性和保证值。</w:t>
      </w:r>
    </w:p>
    <w:p w14:paraId="4FA73661">
      <w:pPr>
        <w:numPr>
          <w:ilvl w:val="0"/>
          <w:numId w:val="16"/>
        </w:numPr>
        <w:snapToGrid w:val="0"/>
        <w:spacing w:line="360" w:lineRule="auto"/>
        <w:ind w:firstLine="420" w:firstLineChars="200"/>
        <w:jc w:val="left"/>
        <w:rPr>
          <w:rFonts w:hint="eastAsia"/>
          <w:bCs/>
          <w:color w:val="auto"/>
          <w:szCs w:val="15"/>
          <w:highlight w:val="none"/>
        </w:rPr>
      </w:pPr>
      <w:r>
        <w:rPr>
          <w:rFonts w:hint="eastAsia"/>
          <w:bCs/>
          <w:color w:val="auto"/>
          <w:szCs w:val="15"/>
          <w:highlight w:val="none"/>
        </w:rPr>
        <w:t>货物单机调试验收：货物全部调试合格并得到采购人认可。货物的验收标准按招标文件技术要求执行并参照国家或行业相关标准。</w:t>
      </w:r>
    </w:p>
    <w:p w14:paraId="3DA9D93A">
      <w:pPr>
        <w:numPr>
          <w:ilvl w:val="0"/>
          <w:numId w:val="16"/>
        </w:numPr>
        <w:snapToGrid w:val="0"/>
        <w:spacing w:line="360" w:lineRule="auto"/>
        <w:ind w:firstLine="420" w:firstLineChars="200"/>
        <w:jc w:val="left"/>
        <w:rPr>
          <w:rFonts w:hint="eastAsia"/>
          <w:bCs/>
          <w:color w:val="auto"/>
          <w:szCs w:val="15"/>
          <w:highlight w:val="none"/>
        </w:rPr>
      </w:pPr>
      <w:r>
        <w:rPr>
          <w:rFonts w:hint="eastAsia"/>
          <w:bCs/>
          <w:color w:val="auto"/>
          <w:szCs w:val="15"/>
          <w:highlight w:val="none"/>
        </w:rPr>
        <w:t>货物通水调试验收：货物通水调试合格并得到采购人认可。货物的验收标准按招标文件技术要求执行并参照国家或行业相关标准。</w:t>
      </w:r>
    </w:p>
    <w:p w14:paraId="4601B733">
      <w:pPr>
        <w:numPr>
          <w:ilvl w:val="0"/>
          <w:numId w:val="16"/>
        </w:numPr>
        <w:snapToGrid w:val="0"/>
        <w:spacing w:line="360" w:lineRule="auto"/>
        <w:ind w:firstLine="420" w:firstLineChars="200"/>
        <w:jc w:val="left"/>
        <w:rPr>
          <w:rFonts w:hint="eastAsia"/>
          <w:bCs/>
          <w:color w:val="auto"/>
          <w:szCs w:val="15"/>
          <w:highlight w:val="none"/>
        </w:rPr>
      </w:pPr>
      <w:r>
        <w:rPr>
          <w:rFonts w:hint="eastAsia" w:ascii="宋体" w:hAnsi="宋体" w:eastAsia="宋体" w:cs="Times New Roman"/>
          <w:bCs/>
          <w:color w:val="auto"/>
          <w:szCs w:val="15"/>
          <w:highlight w:val="none"/>
        </w:rPr>
        <w:t>合同设备安装调试完毕，检测合格，符合招标文件及合同技术协议要求的，采购人应出具验收合格报告。但该报告不能免除供应商对由于设计、工艺或材料的缺陷而在后续产生的故障或质量问题所应承担的责任。如果采购人发现货物内在的、非显而易见的损坏，或者货物的质量与合同约定不符，或者在货物质量保证期内证实货物是有缺陷的（包括潜在的缺陷或使用不符合要求的材料等），采购人有权要求供应商免费更换有缺陷的货物或部件。采购人应在发现该情况之日起三日内以书面形式通知供应商，供应商应在收到采购人通知后十日内免费更换有缺陷的货物或部件，相关费用由供应商承担。供应商逾期未处理的，采购人有权自行处理或委托第三方处理，由此产生的费用采购人有权直接从质保金中扣除，不足部分由供应商另行支付。</w:t>
      </w:r>
    </w:p>
    <w:p w14:paraId="3CA056DD">
      <w:pPr>
        <w:numPr>
          <w:ilvl w:val="0"/>
          <w:numId w:val="16"/>
        </w:numPr>
        <w:snapToGrid w:val="0"/>
        <w:spacing w:line="360" w:lineRule="auto"/>
        <w:ind w:firstLine="420" w:firstLineChars="200"/>
        <w:jc w:val="left"/>
        <w:rPr>
          <w:rFonts w:hint="eastAsia" w:ascii="宋体" w:hAnsi="宋体" w:eastAsia="宋体" w:cs="Times New Roman"/>
          <w:bCs/>
          <w:color w:val="auto"/>
          <w:szCs w:val="15"/>
          <w:highlight w:val="none"/>
        </w:rPr>
      </w:pPr>
      <w:r>
        <w:rPr>
          <w:rFonts w:hint="eastAsia" w:ascii="宋体" w:hAnsi="宋体" w:eastAsia="宋体" w:cs="Times New Roman"/>
          <w:bCs/>
          <w:color w:val="auto"/>
          <w:szCs w:val="15"/>
          <w:highlight w:val="none"/>
        </w:rPr>
        <w:t>技术培训</w:t>
      </w:r>
    </w:p>
    <w:p w14:paraId="7A69AC24">
      <w:pPr>
        <w:snapToGrid w:val="0"/>
        <w:spacing w:line="360" w:lineRule="auto"/>
        <w:ind w:firstLine="420" w:firstLineChars="200"/>
        <w:jc w:val="left"/>
        <w:rPr>
          <w:rFonts w:hint="eastAsia"/>
          <w:bCs/>
          <w:color w:val="auto"/>
          <w:szCs w:val="15"/>
          <w:highlight w:val="none"/>
        </w:rPr>
      </w:pPr>
      <w:r>
        <w:rPr>
          <w:rFonts w:hint="eastAsia"/>
          <w:bCs/>
          <w:color w:val="auto"/>
          <w:szCs w:val="15"/>
          <w:highlight w:val="none"/>
        </w:rPr>
        <w:t>合同设备交接前，供应商应提供人员培训计划，明确培训内容、资料、人员等，保证采购人运行人员能对设备的维护保养、检修及实际运行操作获得全面的知识了解，能够进行设备的操作、测试和维修，保证系统稳定运行。</w:t>
      </w:r>
    </w:p>
    <w:p w14:paraId="0D424868">
      <w:pPr>
        <w:snapToGrid w:val="0"/>
        <w:spacing w:line="360" w:lineRule="auto"/>
        <w:ind w:firstLine="420" w:firstLineChars="200"/>
        <w:jc w:val="left"/>
        <w:rPr>
          <w:rFonts w:hint="eastAsia"/>
          <w:bCs/>
          <w:color w:val="auto"/>
          <w:szCs w:val="15"/>
          <w:highlight w:val="none"/>
        </w:rPr>
      </w:pPr>
      <w:r>
        <w:rPr>
          <w:rFonts w:hint="eastAsia"/>
          <w:bCs/>
          <w:color w:val="auto"/>
          <w:szCs w:val="15"/>
          <w:highlight w:val="none"/>
        </w:rPr>
        <w:t>供应商承诺按照以下规定为采购人提供技术培训，并不收取任何费用。</w:t>
      </w:r>
    </w:p>
    <w:p w14:paraId="07BA696E">
      <w:pPr>
        <w:snapToGrid w:val="0"/>
        <w:spacing w:line="360" w:lineRule="auto"/>
        <w:ind w:firstLine="420" w:firstLineChars="200"/>
        <w:jc w:val="left"/>
        <w:rPr>
          <w:rFonts w:hint="eastAsia"/>
          <w:bCs/>
          <w:color w:val="auto"/>
          <w:szCs w:val="15"/>
          <w:highlight w:val="none"/>
        </w:rPr>
      </w:pPr>
      <w:r>
        <w:rPr>
          <w:rFonts w:hint="eastAsia"/>
          <w:bCs/>
          <w:color w:val="auto"/>
          <w:szCs w:val="15"/>
          <w:highlight w:val="none"/>
        </w:rPr>
        <w:t>培训时间：采购人根据实际情况确定，不少于16学时/人，根据采购人要求需多次响应。</w:t>
      </w:r>
    </w:p>
    <w:p w14:paraId="66F1A0DE">
      <w:pPr>
        <w:snapToGrid w:val="0"/>
        <w:spacing w:line="360" w:lineRule="auto"/>
        <w:ind w:firstLine="420" w:firstLineChars="200"/>
        <w:jc w:val="left"/>
        <w:rPr>
          <w:rFonts w:hint="eastAsia"/>
          <w:bCs/>
          <w:color w:val="auto"/>
          <w:szCs w:val="15"/>
          <w:highlight w:val="none"/>
        </w:rPr>
      </w:pPr>
      <w:r>
        <w:rPr>
          <w:rFonts w:hint="eastAsia"/>
          <w:bCs/>
          <w:color w:val="auto"/>
          <w:szCs w:val="15"/>
          <w:highlight w:val="none"/>
        </w:rPr>
        <w:t>培训地点：采购人根据实际情况确定</w:t>
      </w:r>
    </w:p>
    <w:p w14:paraId="1C07CCC2">
      <w:pPr>
        <w:snapToGrid w:val="0"/>
        <w:spacing w:line="360" w:lineRule="auto"/>
        <w:ind w:firstLine="420" w:firstLineChars="200"/>
        <w:jc w:val="left"/>
        <w:rPr>
          <w:rFonts w:hint="eastAsia"/>
          <w:bCs/>
          <w:color w:val="auto"/>
          <w:szCs w:val="15"/>
          <w:highlight w:val="none"/>
        </w:rPr>
      </w:pPr>
      <w:r>
        <w:rPr>
          <w:rFonts w:hint="eastAsia"/>
          <w:bCs/>
          <w:color w:val="auto"/>
          <w:szCs w:val="15"/>
          <w:highlight w:val="none"/>
        </w:rPr>
        <w:t>参加人员和人数：采购人根据实际情况确定</w:t>
      </w:r>
    </w:p>
    <w:p w14:paraId="4D842666">
      <w:pPr>
        <w:snapToGrid w:val="0"/>
        <w:spacing w:line="360" w:lineRule="auto"/>
        <w:ind w:firstLine="420" w:firstLineChars="200"/>
        <w:jc w:val="left"/>
        <w:rPr>
          <w:rFonts w:hint="eastAsia"/>
          <w:bCs/>
          <w:color w:val="auto"/>
          <w:szCs w:val="15"/>
          <w:highlight w:val="none"/>
        </w:rPr>
      </w:pPr>
      <w:r>
        <w:rPr>
          <w:rFonts w:hint="eastAsia"/>
          <w:bCs/>
          <w:color w:val="auto"/>
          <w:szCs w:val="15"/>
          <w:highlight w:val="none"/>
        </w:rPr>
        <w:t>培训标准和要求：采购人根据实际情况确定</w:t>
      </w:r>
    </w:p>
    <w:p w14:paraId="26EE3BA2">
      <w:pPr>
        <w:keepNext w:val="0"/>
        <w:keepLines w:val="0"/>
        <w:widowControl/>
        <w:numPr>
          <w:ilvl w:val="0"/>
          <w:numId w:val="0"/>
        </w:numPr>
        <w:suppressLineNumbers w:val="0"/>
        <w:spacing w:before="157" w:beforeLines="50" w:after="157" w:afterLines="50" w:line="240" w:lineRule="auto"/>
        <w:ind w:firstLine="422" w:firstLineChars="200"/>
        <w:jc w:val="left"/>
        <w:outlineLvl w:val="3"/>
        <w:rPr>
          <w:rFonts w:hint="eastAsia" w:ascii="宋体" w:hAnsi="宋体" w:eastAsia="宋体" w:cs="宋体"/>
          <w:b/>
          <w:bCs/>
          <w:color w:val="auto"/>
          <w:szCs w:val="21"/>
          <w:highlight w:val="none"/>
          <w:lang w:val="en-US"/>
        </w:rPr>
      </w:pPr>
      <w:r>
        <w:rPr>
          <w:rFonts w:hint="eastAsia" w:ascii="宋体" w:hAnsi="宋体" w:eastAsia="宋体" w:cs="宋体"/>
          <w:b/>
          <w:bCs/>
          <w:color w:val="auto"/>
          <w:szCs w:val="21"/>
          <w:highlight w:val="none"/>
          <w:lang w:val="en-US" w:eastAsia="zh-CN"/>
        </w:rPr>
        <w:t>（十）</w:t>
      </w:r>
      <w:r>
        <w:rPr>
          <w:rFonts w:hint="eastAsia" w:ascii="宋体" w:hAnsi="宋体" w:eastAsia="宋体" w:cs="宋体"/>
          <w:b/>
          <w:bCs/>
          <w:color w:val="auto"/>
          <w:kern w:val="2"/>
          <w:sz w:val="21"/>
          <w:szCs w:val="21"/>
          <w:highlight w:val="none"/>
          <w:lang w:val="en-US" w:eastAsia="zh-CN" w:bidi="ar"/>
        </w:rPr>
        <w:t>验收标准</w:t>
      </w:r>
    </w:p>
    <w:p w14:paraId="6ED7C737">
      <w:pPr>
        <w:keepNext w:val="0"/>
        <w:keepLines w:val="0"/>
        <w:pageBreakBefore w:val="0"/>
        <w:widowControl w:val="0"/>
        <w:numPr>
          <w:ilvl w:val="0"/>
          <w:numId w:val="17"/>
        </w:numPr>
        <w:kinsoku/>
        <w:wordWrap/>
        <w:overflowPunct/>
        <w:topLinePunct w:val="0"/>
        <w:autoSpaceDE/>
        <w:autoSpaceDN/>
        <w:bidi w:val="0"/>
        <w:snapToGrid/>
        <w:spacing w:line="360" w:lineRule="auto"/>
        <w:ind w:left="0" w:leftChars="0" w:firstLine="420" w:firstLineChars="200"/>
        <w:textAlignment w:val="auto"/>
        <w:rPr>
          <w:rFonts w:hint="eastAsia" w:cs="宋体"/>
          <w:b w:val="0"/>
          <w:bCs w:val="0"/>
          <w:color w:val="auto"/>
          <w:szCs w:val="21"/>
          <w:highlight w:val="none"/>
          <w:lang w:val="en-US" w:eastAsia="zh-CN"/>
        </w:rPr>
      </w:pPr>
      <w:r>
        <w:rPr>
          <w:rFonts w:hint="eastAsia" w:cs="宋体"/>
          <w:b w:val="0"/>
          <w:bCs w:val="0"/>
          <w:color w:val="auto"/>
          <w:szCs w:val="21"/>
          <w:highlight w:val="none"/>
          <w:lang w:val="en-US" w:eastAsia="zh-CN"/>
        </w:rPr>
        <w:t>设备性能需满足施工图设计及本技术要求规定的性能要求；</w:t>
      </w:r>
    </w:p>
    <w:p w14:paraId="7408AE0C">
      <w:pPr>
        <w:numPr>
          <w:ilvl w:val="0"/>
          <w:numId w:val="17"/>
        </w:numPr>
        <w:spacing w:line="360" w:lineRule="auto"/>
        <w:ind w:firstLine="420" w:firstLineChars="200"/>
        <w:rPr>
          <w:rFonts w:hint="eastAsia"/>
          <w:color w:val="auto"/>
          <w:highlight w:val="none"/>
          <w:lang w:val="en-US" w:eastAsia="zh-CN"/>
        </w:rPr>
      </w:pPr>
      <w:r>
        <w:rPr>
          <w:rFonts w:hint="eastAsia" w:cs="宋体"/>
          <w:b w:val="0"/>
          <w:bCs w:val="0"/>
          <w:color w:val="auto"/>
          <w:szCs w:val="21"/>
          <w:highlight w:val="none"/>
          <w:lang w:val="en-US" w:eastAsia="zh-CN"/>
        </w:rPr>
        <w:t>最终以满足采购文件要求、业主设计相关技术要求，且通过甲方单位、总包单位、业主单位以及监理单位验收为准。</w:t>
      </w:r>
    </w:p>
    <w:p w14:paraId="42F79DCA">
      <w:pPr>
        <w:numPr>
          <w:ilvl w:val="0"/>
          <w:numId w:val="17"/>
        </w:numPr>
        <w:snapToGrid/>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货物是原厂出产的、全新的、未使用过的、并保证所提供清单内设备的规格尺寸与数量完全相匹配。</w:t>
      </w:r>
    </w:p>
    <w:p w14:paraId="455FF612">
      <w:pPr>
        <w:numPr>
          <w:ilvl w:val="0"/>
          <w:numId w:val="17"/>
        </w:numPr>
        <w:snapToGrid/>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所有合同设备均应在安装后按照技术规范要求进行调试，以证明其适用性和保证值，若有不符合技术性能要求的情况，采购人拒绝验收。</w:t>
      </w:r>
    </w:p>
    <w:p w14:paraId="56AF7E26">
      <w:pPr>
        <w:numPr>
          <w:ilvl w:val="0"/>
          <w:numId w:val="17"/>
        </w:numPr>
        <w:snapToGrid/>
        <w:ind w:firstLine="420" w:firstLineChars="200"/>
        <w:rPr>
          <w:rFonts w:hint="eastAsia" w:ascii="宋体" w:hAnsi="宋体" w:eastAsia="宋体" w:cs="宋体"/>
          <w:b w:val="0"/>
          <w:bCs w:val="0"/>
          <w:color w:val="auto"/>
          <w:szCs w:val="21"/>
          <w:highlight w:val="none"/>
        </w:rPr>
      </w:pPr>
      <w:r>
        <w:rPr>
          <w:rFonts w:hint="eastAsia" w:cs="宋体"/>
          <w:b w:val="0"/>
          <w:bCs w:val="0"/>
          <w:color w:val="auto"/>
          <w:szCs w:val="21"/>
          <w:highlight w:val="none"/>
          <w:lang w:val="en-US" w:eastAsia="zh-CN"/>
        </w:rPr>
        <w:t>设备须</w:t>
      </w:r>
      <w:r>
        <w:rPr>
          <w:rFonts w:hint="eastAsia" w:ascii="宋体" w:hAnsi="宋体" w:eastAsia="宋体" w:cs="宋体"/>
          <w:b w:val="0"/>
          <w:bCs w:val="0"/>
          <w:color w:val="auto"/>
          <w:szCs w:val="21"/>
          <w:highlight w:val="none"/>
        </w:rPr>
        <w:t>满足</w:t>
      </w:r>
      <w:r>
        <w:rPr>
          <w:rFonts w:hint="eastAsia" w:ascii="宋体" w:hAnsi="宋体" w:eastAsia="宋体" w:cs="宋体"/>
          <w:b w:val="0"/>
          <w:bCs w:val="0"/>
          <w:color w:val="auto"/>
          <w:szCs w:val="21"/>
          <w:highlight w:val="none"/>
          <w:lang w:val="en-US" w:eastAsia="zh-CN"/>
        </w:rPr>
        <w:t>系统</w:t>
      </w:r>
      <w:r>
        <w:rPr>
          <w:rFonts w:hint="eastAsia" w:ascii="宋体" w:hAnsi="宋体" w:eastAsia="宋体" w:cs="宋体"/>
          <w:b w:val="0"/>
          <w:bCs w:val="0"/>
          <w:color w:val="auto"/>
          <w:szCs w:val="21"/>
          <w:highlight w:val="none"/>
        </w:rPr>
        <w:t>连续7天、每天24小时试运行检测期内稳定运行的要求。</w:t>
      </w:r>
    </w:p>
    <w:p w14:paraId="21056C5B">
      <w:pPr>
        <w:numPr>
          <w:ilvl w:val="0"/>
          <w:numId w:val="17"/>
        </w:numPr>
        <w:snapToGrid/>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质量标准符合国家、行业标准。凡属于国家规定强制检测的设备项目，都必须具备计量质检部门的检测合格证。</w:t>
      </w:r>
    </w:p>
    <w:p w14:paraId="1DA73174">
      <w:pPr>
        <w:numPr>
          <w:ilvl w:val="0"/>
          <w:numId w:val="17"/>
        </w:numPr>
        <w:snapToGrid/>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供应商已按照合同规定提交了全部产品及完整的技术资料（如捆装清单、出厂检测报告、产品合格证、使用说明书、安装图纸等）。</w:t>
      </w:r>
    </w:p>
    <w:p w14:paraId="282F90DC">
      <w:pPr>
        <w:numPr>
          <w:ilvl w:val="0"/>
          <w:numId w:val="17"/>
        </w:numPr>
        <w:snapToGrid/>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产品符合招标文件相关使用要求，性能满足技术要求。设备的性能应符合技术规格要求指标。</w:t>
      </w:r>
    </w:p>
    <w:p w14:paraId="6016869F">
      <w:pPr>
        <w:numPr>
          <w:ilvl w:val="0"/>
          <w:numId w:val="17"/>
        </w:numPr>
        <w:snapToGrid/>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性能测试和试运行验收时出现的问题已解决。</w:t>
      </w:r>
    </w:p>
    <w:p w14:paraId="62C17CE5">
      <w:pPr>
        <w:numPr>
          <w:ilvl w:val="0"/>
          <w:numId w:val="17"/>
        </w:numPr>
        <w:snapToGrid/>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离心泵专用工具、备品备件已全部转移给采购人使用。</w:t>
      </w:r>
    </w:p>
    <w:p w14:paraId="4EBBD269">
      <w:pPr>
        <w:numPr>
          <w:ilvl w:val="0"/>
          <w:numId w:val="17"/>
        </w:numPr>
        <w:snapToGrid/>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已完成对使用人的培训。</w:t>
      </w:r>
    </w:p>
    <w:p w14:paraId="17FBBF6E">
      <w:pPr>
        <w:keepNext w:val="0"/>
        <w:keepLines w:val="0"/>
        <w:pageBreakBefore w:val="0"/>
        <w:widowControl/>
        <w:numPr>
          <w:ilvl w:val="0"/>
          <w:numId w:val="0"/>
        </w:numPr>
        <w:kinsoku/>
        <w:wordWrap/>
        <w:overflowPunct/>
        <w:topLinePunct w:val="0"/>
        <w:autoSpaceDE/>
        <w:autoSpaceDN/>
        <w:bidi w:val="0"/>
        <w:snapToGrid/>
        <w:spacing w:before="157" w:beforeLines="50" w:after="157" w:afterLines="50" w:line="240" w:lineRule="auto"/>
        <w:ind w:left="0" w:leftChars="0" w:firstLine="422" w:firstLineChars="200"/>
        <w:jc w:val="left"/>
        <w:textAlignment w:val="auto"/>
        <w:outlineLvl w:val="3"/>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十一</w:t>
      </w:r>
      <w:r>
        <w:rPr>
          <w:rFonts w:hint="eastAsia" w:ascii="宋体" w:hAnsi="宋体" w:eastAsia="宋体" w:cs="宋体"/>
          <w:b/>
          <w:bCs/>
          <w:color w:val="auto"/>
          <w:szCs w:val="21"/>
          <w:highlight w:val="none"/>
          <w:lang w:val="en-US" w:eastAsia="zh-CN"/>
        </w:rPr>
        <w:t>）质保及售后要求</w:t>
      </w:r>
    </w:p>
    <w:p w14:paraId="1E39C57A">
      <w:pPr>
        <w:keepNext w:val="0"/>
        <w:keepLines w:val="0"/>
        <w:pageBreakBefore w:val="0"/>
        <w:widowControl w:val="0"/>
        <w:kinsoku/>
        <w:wordWrap/>
        <w:overflowPunct/>
        <w:topLinePunct w:val="0"/>
        <w:autoSpaceDE/>
        <w:autoSpaceDN/>
        <w:bidi w:val="0"/>
        <w:snapToGrid/>
        <w:spacing w:line="360" w:lineRule="auto"/>
        <w:ind w:left="0" w:leftChars="0"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Cs w:val="21"/>
          <w:highlight w:val="none"/>
        </w:rPr>
        <w:t>★</w:t>
      </w:r>
      <w:r>
        <w:rPr>
          <w:rFonts w:hint="eastAsia" w:cs="宋体"/>
          <w:b/>
          <w:bCs/>
          <w:color w:val="auto"/>
          <w:szCs w:val="21"/>
          <w:highlight w:val="none"/>
          <w:lang w:val="en-US" w:eastAsia="zh-CN"/>
        </w:rPr>
        <w:t>1.</w:t>
      </w:r>
      <w:r>
        <w:rPr>
          <w:rFonts w:hint="eastAsia" w:ascii="宋体" w:hAnsi="宋体" w:eastAsia="宋体" w:cs="宋体"/>
          <w:b/>
          <w:bCs/>
          <w:color w:val="auto"/>
          <w:kern w:val="2"/>
          <w:sz w:val="21"/>
          <w:szCs w:val="21"/>
          <w:highlight w:val="none"/>
          <w:lang w:eastAsia="zh-CN"/>
        </w:rPr>
        <w:t>质量保证期：</w:t>
      </w:r>
      <w:r>
        <w:rPr>
          <w:rFonts w:hint="eastAsia" w:cs="宋体"/>
          <w:color w:val="auto"/>
          <w:szCs w:val="21"/>
          <w:highlight w:val="none"/>
          <w:lang w:val="en-US" w:eastAsia="zh-CN"/>
        </w:rPr>
        <w:t>质保期为工程竣工验收合格后2年</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highlight w:val="none"/>
          <w:u w:val="none"/>
          <w:lang w:eastAsia="zh-CN"/>
        </w:rPr>
        <w:t>在质保期内，设备确因制造质量不良而发生损坏或不能正常工作时，</w:t>
      </w:r>
      <w:r>
        <w:rPr>
          <w:rFonts w:hint="eastAsia" w:ascii="宋体" w:hAnsi="宋体" w:eastAsia="宋体" w:cs="宋体"/>
          <w:color w:val="auto"/>
          <w:highlight w:val="none"/>
          <w:u w:val="none"/>
          <w:lang w:val="en-US" w:eastAsia="zh-CN"/>
        </w:rPr>
        <w:t>供应商</w:t>
      </w:r>
      <w:r>
        <w:rPr>
          <w:rFonts w:hint="eastAsia" w:ascii="宋体" w:hAnsi="宋体" w:eastAsia="宋体" w:cs="宋体"/>
          <w:color w:val="auto"/>
          <w:highlight w:val="none"/>
          <w:u w:val="none"/>
          <w:lang w:eastAsia="zh-CN"/>
        </w:rPr>
        <w:t>应免费修理或更换并免费提供维修保养服务。更换的零部件的保修期从更换之日起再延长1年。对于隐蔽性的、合理的检查和试验都不能发觉到的缺陷，即使质量保证期已过，由于其产品本身的设计缺陷、制造缺陷、安装缺陷造成的故障，仍由</w:t>
      </w:r>
      <w:r>
        <w:rPr>
          <w:rFonts w:hint="eastAsia" w:ascii="宋体" w:hAnsi="宋体" w:eastAsia="宋体" w:cs="宋体"/>
          <w:color w:val="auto"/>
          <w:highlight w:val="none"/>
          <w:u w:val="none"/>
          <w:lang w:val="en-US" w:eastAsia="zh-CN"/>
        </w:rPr>
        <w:t>供应商</w:t>
      </w:r>
      <w:r>
        <w:rPr>
          <w:rFonts w:hint="eastAsia" w:ascii="宋体" w:hAnsi="宋体" w:eastAsia="宋体" w:cs="宋体"/>
          <w:color w:val="auto"/>
          <w:highlight w:val="none"/>
          <w:u w:val="none"/>
          <w:lang w:eastAsia="zh-CN"/>
        </w:rPr>
        <w:t>免费负责。</w:t>
      </w:r>
      <w:r>
        <w:rPr>
          <w:rFonts w:hint="eastAsia" w:ascii="宋体" w:hAnsi="宋体" w:eastAsia="宋体" w:cs="宋体"/>
          <w:color w:val="auto"/>
          <w:kern w:val="2"/>
          <w:sz w:val="21"/>
          <w:szCs w:val="21"/>
          <w:highlight w:val="none"/>
          <w:u w:val="none"/>
          <w:lang w:val="en-US" w:eastAsia="zh-CN"/>
        </w:rPr>
        <w:t>详细质保要求参照合同条款执行</w:t>
      </w:r>
      <w:r>
        <w:rPr>
          <w:rFonts w:hint="eastAsia" w:ascii="宋体" w:hAnsi="宋体" w:eastAsia="宋体" w:cs="宋体"/>
          <w:color w:val="auto"/>
          <w:sz w:val="21"/>
          <w:szCs w:val="21"/>
          <w:highlight w:val="none"/>
          <w:u w:val="none"/>
          <w:lang w:val="en-US" w:eastAsia="zh-CN"/>
        </w:rPr>
        <w:t>。</w:t>
      </w:r>
    </w:p>
    <w:p w14:paraId="70064ABA">
      <w:pPr>
        <w:widowControl/>
        <w:snapToGrid w:val="0"/>
        <w:spacing w:line="346" w:lineRule="auto"/>
        <w:ind w:firstLine="480"/>
        <w:jc w:val="left"/>
        <w:rPr>
          <w:rFonts w:hint="eastAsia" w:ascii="宋体" w:hAnsi="宋体" w:eastAsia="宋体" w:cs="宋体"/>
          <w:color w:val="auto"/>
          <w:highlight w:val="none"/>
          <w:u w:val="none"/>
          <w:lang w:val="en-US" w:eastAsia="zh-CN"/>
        </w:rPr>
      </w:pPr>
      <w:r>
        <w:rPr>
          <w:rFonts w:hint="eastAsia" w:ascii="宋体" w:hAnsi="宋体" w:eastAsia="宋体" w:cs="宋体"/>
          <w:color w:val="auto"/>
          <w:sz w:val="21"/>
          <w:szCs w:val="21"/>
          <w:highlight w:val="none"/>
          <w:u w:val="none"/>
          <w:lang w:val="en-US" w:eastAsia="zh-CN"/>
        </w:rPr>
        <w:t>2.</w:t>
      </w:r>
      <w:r>
        <w:rPr>
          <w:rFonts w:hint="eastAsia" w:ascii="宋体" w:hAnsi="宋体" w:eastAsia="宋体" w:cs="宋体"/>
          <w:color w:val="auto"/>
          <w:highlight w:val="none"/>
          <w:u w:val="none"/>
          <w:lang w:val="en-US" w:eastAsia="zh-CN"/>
        </w:rPr>
        <w:t>售后保修服务（摘自业主招标文件P326，合同附件三：工程质量保修书第七条）</w:t>
      </w:r>
    </w:p>
    <w:p w14:paraId="70B51D92">
      <w:pPr>
        <w:widowControl/>
        <w:snapToGrid w:val="0"/>
        <w:spacing w:line="346" w:lineRule="auto"/>
        <w:ind w:firstLine="480"/>
        <w:jc w:val="left"/>
        <w:rPr>
          <w:rFonts w:hint="eastAsia" w:ascii="宋体" w:hAnsi="宋体" w:eastAsia="宋体" w:cs="宋体"/>
          <w:color w:val="auto"/>
          <w:highlight w:val="none"/>
          <w:u w:val="none"/>
          <w:lang w:eastAsia="zh-CN"/>
        </w:rPr>
      </w:pPr>
      <w:r>
        <w:rPr>
          <w:rFonts w:hint="eastAsia" w:ascii="宋体" w:hAnsi="宋体" w:eastAsia="宋体" w:cs="宋体"/>
          <w:color w:val="auto"/>
          <w:highlight w:val="none"/>
          <w:u w:val="none"/>
          <w:lang w:eastAsia="zh-CN"/>
        </w:rPr>
        <w:t>（</w:t>
      </w:r>
      <w:r>
        <w:rPr>
          <w:rFonts w:hint="eastAsia" w:ascii="宋体" w:hAnsi="宋体" w:eastAsia="宋体" w:cs="宋体"/>
          <w:color w:val="auto"/>
          <w:highlight w:val="none"/>
          <w:u w:val="none"/>
          <w:lang w:val="en-US" w:eastAsia="zh-CN"/>
        </w:rPr>
        <w:t>1）供应商</w:t>
      </w:r>
      <w:r>
        <w:rPr>
          <w:rFonts w:hint="eastAsia" w:ascii="宋体" w:hAnsi="宋体" w:eastAsia="宋体" w:cs="宋体"/>
          <w:color w:val="auto"/>
          <w:highlight w:val="none"/>
          <w:u w:val="none"/>
          <w:lang w:eastAsia="zh-CN"/>
        </w:rPr>
        <w:t>承诺对合同设备在质保期内提供的保修服务为全包式免费上门服务，包括对合同设备的故障维修、技术咨询、技术支持；</w:t>
      </w:r>
    </w:p>
    <w:p w14:paraId="7353BA36">
      <w:pPr>
        <w:widowControl/>
        <w:snapToGrid w:val="0"/>
        <w:spacing w:line="346" w:lineRule="auto"/>
        <w:ind w:firstLine="480"/>
        <w:jc w:val="left"/>
        <w:rPr>
          <w:rFonts w:hint="eastAsia" w:ascii="宋体" w:hAnsi="宋体" w:eastAsia="宋体" w:cs="宋体"/>
          <w:color w:val="auto"/>
          <w:highlight w:val="none"/>
          <w:u w:val="none"/>
          <w:lang w:eastAsia="zh-CN"/>
        </w:rPr>
      </w:pPr>
      <w:r>
        <w:rPr>
          <w:rFonts w:hint="eastAsia" w:ascii="宋体" w:hAnsi="宋体" w:eastAsia="宋体" w:cs="宋体"/>
          <w:color w:val="auto"/>
          <w:highlight w:val="none"/>
          <w:u w:val="none"/>
          <w:lang w:eastAsia="zh-CN"/>
        </w:rPr>
        <w:t>（</w:t>
      </w:r>
      <w:r>
        <w:rPr>
          <w:rFonts w:hint="eastAsia" w:ascii="宋体" w:hAnsi="宋体" w:eastAsia="宋体" w:cs="宋体"/>
          <w:color w:val="auto"/>
          <w:highlight w:val="none"/>
          <w:u w:val="none"/>
          <w:lang w:val="en-US" w:eastAsia="zh-CN"/>
        </w:rPr>
        <w:t>2）</w:t>
      </w:r>
      <w:r>
        <w:rPr>
          <w:rFonts w:hint="eastAsia" w:ascii="宋体" w:hAnsi="宋体" w:eastAsia="宋体" w:cs="宋体"/>
          <w:color w:val="auto"/>
          <w:highlight w:val="none"/>
          <w:u w:val="none"/>
          <w:lang w:eastAsia="zh-CN"/>
        </w:rPr>
        <w:t>合同设备在质保期内的故障维修和保修服务所发生的备件费、人工费、交通费等所有费用均由</w:t>
      </w:r>
      <w:r>
        <w:rPr>
          <w:rFonts w:hint="eastAsia" w:ascii="宋体" w:hAnsi="宋体" w:eastAsia="宋体" w:cs="宋体"/>
          <w:color w:val="auto"/>
          <w:highlight w:val="none"/>
          <w:u w:val="none"/>
          <w:lang w:val="en-US" w:eastAsia="zh-CN"/>
        </w:rPr>
        <w:t>供应商</w:t>
      </w:r>
      <w:r>
        <w:rPr>
          <w:rFonts w:hint="eastAsia" w:ascii="宋体" w:hAnsi="宋体" w:eastAsia="宋体" w:cs="宋体"/>
          <w:color w:val="auto"/>
          <w:highlight w:val="none"/>
          <w:u w:val="none"/>
          <w:lang w:eastAsia="zh-CN"/>
        </w:rPr>
        <w:t>承担。对</w:t>
      </w:r>
      <w:r>
        <w:rPr>
          <w:rFonts w:hint="eastAsia" w:ascii="宋体" w:hAnsi="宋体" w:eastAsia="宋体" w:cs="宋体"/>
          <w:color w:val="auto"/>
          <w:highlight w:val="none"/>
          <w:u w:val="none"/>
          <w:lang w:val="en-US" w:eastAsia="zh-CN"/>
        </w:rPr>
        <w:t>采购人</w:t>
      </w:r>
      <w:r>
        <w:rPr>
          <w:rFonts w:hint="eastAsia" w:ascii="宋体" w:hAnsi="宋体" w:eastAsia="宋体" w:cs="宋体"/>
          <w:color w:val="auto"/>
          <w:highlight w:val="none"/>
          <w:u w:val="none"/>
          <w:lang w:eastAsia="zh-CN"/>
        </w:rPr>
        <w:t>人为因素、不可抗力因素造成的合同设备故障，</w:t>
      </w:r>
      <w:r>
        <w:rPr>
          <w:rFonts w:hint="eastAsia" w:ascii="宋体" w:hAnsi="宋体" w:eastAsia="宋体" w:cs="宋体"/>
          <w:color w:val="auto"/>
          <w:highlight w:val="none"/>
          <w:u w:val="none"/>
          <w:lang w:val="en-US" w:eastAsia="zh-CN"/>
        </w:rPr>
        <w:t>供应商</w:t>
      </w:r>
      <w:r>
        <w:rPr>
          <w:rFonts w:hint="eastAsia" w:ascii="宋体" w:hAnsi="宋体" w:eastAsia="宋体" w:cs="宋体"/>
          <w:color w:val="auto"/>
          <w:highlight w:val="none"/>
          <w:u w:val="none"/>
          <w:lang w:eastAsia="zh-CN"/>
        </w:rPr>
        <w:t>将免费进行修复，必须更换的零部件成本费用由</w:t>
      </w:r>
      <w:r>
        <w:rPr>
          <w:rFonts w:hint="eastAsia" w:ascii="宋体" w:hAnsi="宋体" w:eastAsia="宋体" w:cs="宋体"/>
          <w:color w:val="auto"/>
          <w:highlight w:val="none"/>
          <w:u w:val="none"/>
          <w:lang w:val="en-US" w:eastAsia="zh-CN"/>
        </w:rPr>
        <w:t>采购</w:t>
      </w:r>
      <w:r>
        <w:rPr>
          <w:rFonts w:hint="eastAsia" w:ascii="宋体" w:hAnsi="宋体" w:eastAsia="宋体" w:cs="宋体"/>
          <w:color w:val="auto"/>
          <w:highlight w:val="none"/>
          <w:u w:val="none"/>
          <w:lang w:eastAsia="zh-CN"/>
        </w:rPr>
        <w:t>人</w:t>
      </w:r>
      <w:r>
        <w:rPr>
          <w:rFonts w:hint="eastAsia" w:ascii="宋体" w:hAnsi="宋体" w:eastAsia="宋体" w:cs="宋体"/>
          <w:color w:val="auto"/>
          <w:highlight w:val="none"/>
          <w:u w:val="none"/>
          <w:lang w:val="en-US" w:eastAsia="zh-CN"/>
        </w:rPr>
        <w:t>向供应商</w:t>
      </w:r>
      <w:r>
        <w:rPr>
          <w:rFonts w:hint="eastAsia" w:ascii="宋体" w:hAnsi="宋体" w:eastAsia="宋体" w:cs="宋体"/>
          <w:color w:val="auto"/>
          <w:highlight w:val="none"/>
          <w:u w:val="none"/>
          <w:lang w:eastAsia="zh-CN"/>
        </w:rPr>
        <w:t>支付，具体金额由双方另行商定；</w:t>
      </w:r>
    </w:p>
    <w:p w14:paraId="5893CB6D">
      <w:pPr>
        <w:widowControl/>
        <w:snapToGrid w:val="0"/>
        <w:spacing w:line="346" w:lineRule="auto"/>
        <w:ind w:firstLine="480"/>
        <w:jc w:val="left"/>
        <w:rPr>
          <w:rFonts w:hint="eastAsia" w:ascii="宋体" w:hAnsi="宋体" w:eastAsia="宋体" w:cs="宋体"/>
          <w:color w:val="auto"/>
          <w:highlight w:val="none"/>
          <w:u w:val="none"/>
          <w:lang w:eastAsia="zh-CN"/>
        </w:rPr>
      </w:pPr>
      <w:r>
        <w:rPr>
          <w:rFonts w:hint="eastAsia" w:ascii="宋体" w:hAnsi="宋体" w:eastAsia="宋体" w:cs="宋体"/>
          <w:color w:val="auto"/>
          <w:highlight w:val="none"/>
          <w:u w:val="none"/>
          <w:lang w:eastAsia="zh-CN"/>
        </w:rPr>
        <w:t>（</w:t>
      </w:r>
      <w:r>
        <w:rPr>
          <w:rFonts w:hint="eastAsia" w:ascii="宋体" w:hAnsi="宋体" w:eastAsia="宋体" w:cs="宋体"/>
          <w:color w:val="auto"/>
          <w:highlight w:val="none"/>
          <w:u w:val="none"/>
          <w:lang w:val="en-US" w:eastAsia="zh-CN"/>
        </w:rPr>
        <w:t>3）供应商对采购</w:t>
      </w:r>
      <w:r>
        <w:rPr>
          <w:rFonts w:hint="eastAsia" w:ascii="宋体" w:hAnsi="宋体" w:eastAsia="宋体" w:cs="宋体"/>
          <w:color w:val="auto"/>
          <w:highlight w:val="none"/>
          <w:u w:val="none"/>
          <w:lang w:eastAsia="zh-CN"/>
        </w:rPr>
        <w:t>人的故障通知将首先提供深圳地区电话技术咨询和支持服务，对电话技术咨询和支持服务不能解决的问题派出技术人员2小时内到达服务现场向</w:t>
      </w:r>
      <w:r>
        <w:rPr>
          <w:rFonts w:hint="eastAsia" w:ascii="宋体" w:hAnsi="宋体" w:eastAsia="宋体" w:cs="宋体"/>
          <w:color w:val="auto"/>
          <w:highlight w:val="none"/>
          <w:u w:val="none"/>
          <w:lang w:val="en-US" w:eastAsia="zh-CN"/>
        </w:rPr>
        <w:t>采购</w:t>
      </w:r>
      <w:r>
        <w:rPr>
          <w:rFonts w:hint="eastAsia" w:ascii="宋体" w:hAnsi="宋体" w:eastAsia="宋体" w:cs="宋体"/>
          <w:color w:val="auto"/>
          <w:highlight w:val="none"/>
          <w:u w:val="none"/>
          <w:lang w:eastAsia="zh-CN"/>
        </w:rPr>
        <w:t>人提供现场技术支持服务。如需更换硬件，需在接到故障申报后48小时内更换硬件或提供备件。</w:t>
      </w:r>
      <w:r>
        <w:rPr>
          <w:rFonts w:hint="eastAsia" w:ascii="宋体" w:hAnsi="宋体" w:eastAsia="宋体" w:cs="宋体"/>
          <w:color w:val="auto"/>
          <w:highlight w:val="none"/>
          <w:u w:val="none"/>
          <w:lang w:val="en-US" w:eastAsia="zh-CN"/>
        </w:rPr>
        <w:t>供应商</w:t>
      </w:r>
      <w:r>
        <w:rPr>
          <w:rFonts w:hint="eastAsia" w:ascii="宋体" w:hAnsi="宋体" w:eastAsia="宋体" w:cs="宋体"/>
          <w:color w:val="auto"/>
          <w:highlight w:val="none"/>
          <w:u w:val="none"/>
          <w:lang w:eastAsia="zh-CN"/>
        </w:rPr>
        <w:t>承诺在合同货物的质量质保期内免费为</w:t>
      </w:r>
      <w:r>
        <w:rPr>
          <w:rFonts w:hint="eastAsia" w:ascii="宋体" w:hAnsi="宋体" w:eastAsia="宋体" w:cs="宋体"/>
          <w:color w:val="auto"/>
          <w:highlight w:val="none"/>
          <w:u w:val="none"/>
          <w:lang w:val="en-US" w:eastAsia="zh-CN"/>
        </w:rPr>
        <w:t>采购</w:t>
      </w:r>
      <w:r>
        <w:rPr>
          <w:rFonts w:hint="eastAsia" w:ascii="宋体" w:hAnsi="宋体" w:eastAsia="宋体" w:cs="宋体"/>
          <w:color w:val="auto"/>
          <w:highlight w:val="none"/>
          <w:u w:val="none"/>
          <w:lang w:eastAsia="zh-CN"/>
        </w:rPr>
        <w:t>人提供合同货物的技术指导和维修服务，提供此项服务的时间是：每周7天×24小时（工作时间）；</w:t>
      </w:r>
    </w:p>
    <w:p w14:paraId="5146262C">
      <w:pPr>
        <w:keepNext w:val="0"/>
        <w:keepLines w:val="0"/>
        <w:pageBreakBefore w:val="0"/>
        <w:widowControl/>
        <w:kinsoku/>
        <w:wordWrap/>
        <w:overflowPunct/>
        <w:topLinePunct w:val="0"/>
        <w:autoSpaceDE/>
        <w:autoSpaceDN/>
        <w:bidi w:val="0"/>
        <w:snapToGrid w:val="0"/>
        <w:spacing w:line="346" w:lineRule="auto"/>
        <w:ind w:left="0" w:leftChars="0" w:firstLine="480" w:firstLineChars="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highlight w:val="none"/>
          <w:u w:val="none"/>
          <w:lang w:eastAsia="zh-CN"/>
        </w:rPr>
        <w:t>（</w:t>
      </w:r>
      <w:r>
        <w:rPr>
          <w:rFonts w:hint="eastAsia" w:ascii="宋体" w:hAnsi="宋体" w:eastAsia="宋体" w:cs="宋体"/>
          <w:color w:val="auto"/>
          <w:highlight w:val="none"/>
          <w:u w:val="none"/>
          <w:lang w:val="en-US" w:eastAsia="zh-CN"/>
        </w:rPr>
        <w:t>4）供应商</w:t>
      </w:r>
      <w:r>
        <w:rPr>
          <w:rFonts w:hint="eastAsia" w:ascii="宋体" w:hAnsi="宋体" w:eastAsia="宋体" w:cs="宋体"/>
          <w:color w:val="auto"/>
          <w:highlight w:val="none"/>
          <w:u w:val="none"/>
          <w:lang w:eastAsia="zh-CN"/>
        </w:rPr>
        <w:t>承诺在对合同设备提供的质保期届满之后，有责任继续为</w:t>
      </w:r>
      <w:r>
        <w:rPr>
          <w:rFonts w:hint="eastAsia" w:ascii="宋体" w:hAnsi="宋体" w:eastAsia="宋体" w:cs="宋体"/>
          <w:color w:val="auto"/>
          <w:highlight w:val="none"/>
          <w:u w:val="none"/>
          <w:lang w:val="en-US" w:eastAsia="zh-CN"/>
        </w:rPr>
        <w:t>采购</w:t>
      </w:r>
      <w:r>
        <w:rPr>
          <w:rFonts w:hint="eastAsia" w:ascii="宋体" w:hAnsi="宋体" w:eastAsia="宋体" w:cs="宋体"/>
          <w:color w:val="auto"/>
          <w:highlight w:val="none"/>
          <w:u w:val="none"/>
          <w:lang w:eastAsia="zh-CN"/>
        </w:rPr>
        <w:t>人提供产品维修服务，且只向</w:t>
      </w:r>
      <w:r>
        <w:rPr>
          <w:rFonts w:hint="eastAsia" w:ascii="宋体" w:hAnsi="宋体" w:eastAsia="宋体" w:cs="宋体"/>
          <w:color w:val="auto"/>
          <w:highlight w:val="none"/>
          <w:u w:val="none"/>
          <w:lang w:val="en-US" w:eastAsia="zh-CN"/>
        </w:rPr>
        <w:t>采购</w:t>
      </w:r>
      <w:r>
        <w:rPr>
          <w:rFonts w:hint="eastAsia" w:ascii="宋体" w:hAnsi="宋体" w:eastAsia="宋体" w:cs="宋体"/>
          <w:color w:val="auto"/>
          <w:highlight w:val="none"/>
          <w:u w:val="none"/>
          <w:lang w:eastAsia="zh-CN"/>
        </w:rPr>
        <w:t>人收取人工费和材料成本费。</w:t>
      </w:r>
    </w:p>
    <w:p w14:paraId="6B219B8E">
      <w:pPr>
        <w:widowControl/>
        <w:numPr>
          <w:ilvl w:val="0"/>
          <w:numId w:val="0"/>
        </w:numPr>
        <w:spacing w:before="157" w:beforeLines="50" w:after="157" w:afterLines="50" w:line="240" w:lineRule="auto"/>
        <w:ind w:firstLine="422" w:firstLineChars="200"/>
        <w:jc w:val="left"/>
        <w:outlineLvl w:val="3"/>
        <w:rPr>
          <w:rFonts w:hint="eastAsia" w:ascii="宋体" w:hAnsi="宋体" w:eastAsia="宋体" w:cs="宋体"/>
          <w:b/>
          <w:bCs/>
          <w:color w:val="auto"/>
          <w:szCs w:val="21"/>
          <w:highlight w:val="none"/>
          <w:lang w:val="en-US" w:eastAsia="zh-CN"/>
        </w:rPr>
      </w:pPr>
      <w:bookmarkStart w:id="18" w:name="_Toc25546"/>
      <w:r>
        <w:rPr>
          <w:rFonts w:hint="eastAsia" w:ascii="宋体" w:hAnsi="宋体" w:eastAsia="宋体" w:cs="宋体"/>
          <w:b/>
          <w:bCs/>
          <w:color w:val="auto"/>
          <w:szCs w:val="21"/>
          <w:highlight w:val="none"/>
          <w:lang w:val="en-US" w:eastAsia="zh-CN"/>
        </w:rPr>
        <w:t>（</w:t>
      </w:r>
      <w:r>
        <w:rPr>
          <w:rFonts w:hint="eastAsia" w:ascii="宋体" w:hAnsi="宋体" w:eastAsia="宋体" w:cs="宋体"/>
          <w:b/>
          <w:bCs/>
          <w:color w:val="auto"/>
          <w:szCs w:val="21"/>
          <w:highlight w:val="none"/>
          <w:lang w:val="en-US" w:eastAsia="zh-CN"/>
        </w:rPr>
        <w:t>十二</w:t>
      </w:r>
      <w:r>
        <w:rPr>
          <w:rFonts w:hint="eastAsia" w:ascii="宋体" w:hAnsi="宋体" w:eastAsia="宋体" w:cs="宋体"/>
          <w:b/>
          <w:bCs/>
          <w:color w:val="auto"/>
          <w:szCs w:val="21"/>
          <w:highlight w:val="none"/>
          <w:lang w:val="en-US" w:eastAsia="zh-CN"/>
        </w:rPr>
        <w:t>）合同生效条件</w:t>
      </w:r>
      <w:bookmarkEnd w:id="18"/>
    </w:p>
    <w:p w14:paraId="3E5CDB65">
      <w:pPr>
        <w:pStyle w:val="34"/>
        <w:tabs>
          <w:tab w:val="left" w:pos="840"/>
        </w:tabs>
        <w:spacing w:line="360" w:lineRule="auto"/>
        <w:ind w:firstLine="420" w:firstLineChars="200"/>
        <w:outlineLvl w:val="9"/>
        <w:rPr>
          <w:rFonts w:ascii="宋体" w:cs="宋体"/>
          <w:color w:val="auto"/>
          <w:szCs w:val="21"/>
          <w:highlight w:val="none"/>
        </w:rPr>
      </w:pP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color w:val="auto"/>
          <w:sz w:val="21"/>
          <w:szCs w:val="21"/>
          <w:highlight w:val="none"/>
          <w:lang w:val="en-US" w:eastAsia="zh-CN"/>
        </w:rPr>
        <w:t>本</w:t>
      </w:r>
      <w:r>
        <w:rPr>
          <w:rFonts w:hint="eastAsia" w:ascii="宋体" w:cs="宋体"/>
          <w:color w:val="auto"/>
          <w:sz w:val="21"/>
          <w:szCs w:val="21"/>
          <w:highlight w:val="none"/>
          <w:lang w:val="en-US" w:eastAsia="zh-CN"/>
        </w:rPr>
        <w:t>次采购为预采购</w:t>
      </w:r>
      <w:r>
        <w:rPr>
          <w:rFonts w:hint="eastAsia" w:ascii="宋体" w:hAnsi="宋体" w:eastAsia="宋体" w:cs="宋体"/>
          <w:color w:val="auto"/>
          <w:sz w:val="21"/>
          <w:szCs w:val="21"/>
          <w:highlight w:val="none"/>
          <w:lang w:val="en-US" w:eastAsia="zh-CN"/>
        </w:rPr>
        <w:t>，中标后合同为附条件生效合同，即合同的生效以采购人成功签订</w:t>
      </w:r>
      <w:r>
        <w:rPr>
          <w:rFonts w:hint="eastAsia" w:ascii="宋体" w:cs="宋体"/>
          <w:color w:val="auto"/>
          <w:sz w:val="21"/>
          <w:szCs w:val="21"/>
          <w:highlight w:val="none"/>
          <w:lang w:val="en-US" w:eastAsia="zh-CN"/>
        </w:rPr>
        <w:t>罗山二期工艺设备供货合同</w:t>
      </w:r>
      <w:r>
        <w:rPr>
          <w:rFonts w:hint="eastAsia" w:ascii="宋体" w:hAnsi="宋体" w:eastAsia="宋体" w:cs="宋体"/>
          <w:color w:val="auto"/>
          <w:sz w:val="21"/>
          <w:szCs w:val="21"/>
          <w:highlight w:val="none"/>
          <w:lang w:val="en-US" w:eastAsia="zh-CN"/>
        </w:rPr>
        <w:t>为前提。若采购人未能签订合同，或即便签订合同但项目无新增此采购需求，则合同将不予生效，本项目合同自动废止，双方互不承担违约责任。</w:t>
      </w:r>
    </w:p>
    <w:p w14:paraId="58DE1BBF">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both"/>
        <w:textAlignment w:val="auto"/>
        <w:rPr>
          <w:rFonts w:hint="eastAsia" w:ascii="宋体" w:hAnsi="宋体" w:eastAsia="宋体" w:cs="宋体"/>
          <w:b/>
          <w:bCs w:val="0"/>
          <w:color w:val="auto"/>
          <w:kern w:val="2"/>
          <w:sz w:val="21"/>
          <w:szCs w:val="21"/>
          <w:highlight w:val="none"/>
          <w:lang w:val="en-US" w:eastAsia="zh-CN"/>
        </w:rPr>
      </w:pPr>
      <w:r>
        <w:rPr>
          <w:rFonts w:hint="eastAsia" w:ascii="宋体" w:hAnsi="宋体" w:eastAsia="宋体" w:cs="宋体"/>
          <w:b/>
          <w:bCs w:val="0"/>
          <w:color w:val="auto"/>
          <w:kern w:val="2"/>
          <w:sz w:val="21"/>
          <w:szCs w:val="21"/>
          <w:highlight w:val="none"/>
          <w:lang w:val="en-US" w:eastAsia="zh-CN"/>
        </w:rPr>
        <w:t>（十）违约处罚（摘自业主招标文件P327《承包人施工违约处理一览表》部分处罚条款，待商定哪些沿用至下游供应商及沿用金额与比例）</w:t>
      </w:r>
    </w:p>
    <w:p w14:paraId="35FA503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default"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1.</w:t>
      </w:r>
      <w:r>
        <w:rPr>
          <w:rFonts w:hint="eastAsia" w:ascii="宋体" w:hAnsi="宋体" w:eastAsia="宋体" w:cs="宋体"/>
          <w:bCs/>
          <w:color w:val="auto"/>
          <w:kern w:val="2"/>
          <w:sz w:val="21"/>
          <w:szCs w:val="21"/>
          <w:highlight w:val="none"/>
          <w:lang w:eastAsia="zh-CN"/>
        </w:rPr>
        <w:t>若由于承包人原因未能在规定期限内（若因上游来水推迟，则考核时间按来水之日计算）具备通水条件或设备无法正常运行或出水水质达不到排放标准的，延迟一天处以5万元违约金，每延迟多1天，在前一日违约金基础上增加0.5万元,处罚金额达到10万元后以违约金10万元/天进行处罚（累计上限为200万元）并承担由此产生的一切费用及相关责任。除按本合同条款处以违约金外，承包人必须对企业排放废水或厂区处理不达标废水进行自行转运处理，由此产生的费用由承包人自行承担。</w:t>
      </w:r>
      <w:r>
        <w:rPr>
          <w:rFonts w:hint="eastAsia" w:ascii="宋体" w:hAnsi="宋体" w:eastAsia="宋体" w:cs="宋体"/>
          <w:b/>
          <w:bCs w:val="0"/>
          <w:color w:val="auto"/>
          <w:kern w:val="2"/>
          <w:sz w:val="21"/>
          <w:szCs w:val="21"/>
          <w:highlight w:val="none"/>
          <w:lang w:eastAsia="zh-CN"/>
        </w:rPr>
        <w:t>（</w:t>
      </w:r>
      <w:r>
        <w:rPr>
          <w:rFonts w:hint="eastAsia" w:ascii="宋体" w:hAnsi="宋体" w:eastAsia="宋体" w:cs="宋体"/>
          <w:b/>
          <w:bCs w:val="0"/>
          <w:color w:val="auto"/>
          <w:kern w:val="2"/>
          <w:sz w:val="21"/>
          <w:szCs w:val="21"/>
          <w:highlight w:val="none"/>
          <w:lang w:val="en-US" w:eastAsia="zh-CN"/>
        </w:rPr>
        <w:t>此条摘自业主招标文件P268—合同条款第四部分补充条款—第二条第四款其他中第4点考核方式违约条款）</w:t>
      </w:r>
    </w:p>
    <w:p w14:paraId="5B45D00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val="en-US" w:eastAsia="zh-CN" w:bidi="ar"/>
        </w:rPr>
        <w:t>2.</w:t>
      </w:r>
      <w:r>
        <w:rPr>
          <w:rFonts w:hint="eastAsia" w:ascii="宋体" w:hAnsi="宋体" w:eastAsia="宋体" w:cs="宋体"/>
          <w:color w:val="auto"/>
          <w:sz w:val="21"/>
          <w:szCs w:val="21"/>
          <w:highlight w:val="none"/>
          <w:lang w:eastAsia="zh-CN" w:bidi="ar"/>
        </w:rPr>
        <w:t>承包人违反合同约定采购和使用不合格的材料和设备的违约责任：承包人应无条件拆除不合格的材料和设备，办理材料设备退场，发包人有权要求承包人支付违约金5万元/次。造成工期延误的所有损失和费用由承包人承担。承包人须重新采购，并确保材料设备质量符合招标文件和合同要求，按程序报审，征得发包人批准后方可施工，该批准不能减轻或免除承包人对材料设备应负的质量责任。若承包人拒不履行合同义务，发包人有权单方面解除合同，同时发包人将提请有关行政主管部门对其作不良行为记录。发包人将拒绝承包人 1年内参加发包人其它项目的投标。</w:t>
      </w:r>
    </w:p>
    <w:p w14:paraId="518B800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val="en-US" w:eastAsia="zh-CN" w:bidi="ar"/>
        </w:rPr>
        <w:t>3.</w:t>
      </w:r>
      <w:r>
        <w:rPr>
          <w:rFonts w:hint="eastAsia" w:ascii="宋体" w:hAnsi="宋体" w:eastAsia="宋体" w:cs="宋体"/>
          <w:color w:val="auto"/>
          <w:sz w:val="21"/>
          <w:szCs w:val="21"/>
          <w:highlight w:val="none"/>
          <w:lang w:eastAsia="zh-CN" w:bidi="ar"/>
        </w:rPr>
        <w:t>承包人未按发包人要求在规定时间内交货的，每延迟一日按本批次货物总价的1‰向甲方偿付逾期交货的违约金，延误超过十个工作日时，发包人有权单方解除本</w:t>
      </w:r>
    </w:p>
    <w:p w14:paraId="28E6F67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val="en-US" w:eastAsia="zh-CN" w:bidi="ar"/>
        </w:rPr>
        <w:t>4.</w:t>
      </w:r>
      <w:r>
        <w:rPr>
          <w:rFonts w:hint="eastAsia" w:ascii="宋体" w:hAnsi="宋体" w:eastAsia="宋体" w:cs="宋体"/>
          <w:color w:val="auto"/>
          <w:sz w:val="21"/>
          <w:szCs w:val="21"/>
          <w:highlight w:val="none"/>
          <w:lang w:eastAsia="zh-CN" w:bidi="ar"/>
        </w:rPr>
        <w:t>承包人提前交付的货物，发包人在代保管期内实际支付的保管费用以及非因发包人保管不善而发生的损失，应当由承包人承担。发包人接货后，仍可按合同规定的交货时间付款。合同并要求承包人支付本批次货物的20%作为违约金，并赔偿因此造成发包人的全部损失。</w:t>
      </w:r>
    </w:p>
    <w:p w14:paraId="1ABCEB8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val="en-US" w:eastAsia="zh-CN" w:bidi="ar"/>
        </w:rPr>
        <w:t>5.</w:t>
      </w:r>
      <w:r>
        <w:rPr>
          <w:rFonts w:hint="eastAsia" w:ascii="宋体" w:hAnsi="宋体" w:eastAsia="宋体" w:cs="宋体"/>
          <w:color w:val="auto"/>
          <w:sz w:val="21"/>
          <w:szCs w:val="21"/>
          <w:highlight w:val="none"/>
          <w:lang w:eastAsia="zh-CN" w:bidi="ar"/>
        </w:rPr>
        <w:t>在施工过程中，如监理人检查发现施工中存在工程质量问题并书面要求限期整改、承包人未整改或未在规定时间内整改到位的，承包人应按下列标准支付违约金： 1万元/次；如发包人检查发现施工中存在工程质量问题并书面要求限期整改、承包人未整改或未在规定时间内整改到位的，承包人应按下列标准支付违约金：1万元/次；如建设行政主管部门检查发现施工中存在工程质量问题并书面要求限期整改、承包人未整改或未在规定时间内整改到位的，承包人应按下列标准支付违约金：1万元/次。违约金累计计算。拒不整改的，承包人应按下列标准支付违约金：20万元/次。本条款规定的违约金总额不超过合同价款的5%。支付违约金后承包人仍有义务及时整改直至合格。由此造成发包人其他经济损失的，承包人还须赔偿发包人的全部损失。</w:t>
      </w:r>
    </w:p>
    <w:p w14:paraId="2D3024E5">
      <w:pPr>
        <w:pStyle w:val="34"/>
        <w:keepNext w:val="0"/>
        <w:keepLines w:val="0"/>
        <w:pageBreakBefore w:val="0"/>
        <w:widowControl w:val="0"/>
        <w:tabs>
          <w:tab w:val="left" w:pos="840"/>
        </w:tabs>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val="en-US" w:eastAsia="zh-CN" w:bidi="ar"/>
        </w:rPr>
        <w:t>6.</w:t>
      </w:r>
      <w:r>
        <w:rPr>
          <w:rFonts w:hint="eastAsia" w:ascii="宋体" w:hAnsi="宋体" w:eastAsia="宋体" w:cs="宋体"/>
          <w:color w:val="auto"/>
          <w:sz w:val="21"/>
          <w:szCs w:val="21"/>
          <w:highlight w:val="none"/>
          <w:lang w:eastAsia="zh-CN" w:bidi="ar"/>
        </w:rPr>
        <w:t>只有经发包人和监理人审核签证认可并且实验检验合格的工程材料、构配件和设备才能用于工程。对于未经发包人认可或监理人未签证认可的或实验检验不合格的，一律不准用于本工程，否则，视为承包人违约，承包人支付违约金10万元/次，违约金累计计算。由此造成所有损失概由承包人承担。本条款规定的罚金总额不超过合同价款的5%。</w:t>
      </w:r>
    </w:p>
    <w:p w14:paraId="1D334AFA">
      <w:pPr>
        <w:pStyle w:val="34"/>
        <w:keepNext w:val="0"/>
        <w:keepLines w:val="0"/>
        <w:pageBreakBefore w:val="0"/>
        <w:widowControl w:val="0"/>
        <w:tabs>
          <w:tab w:val="left" w:pos="840"/>
        </w:tabs>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val="en-US" w:eastAsia="zh-CN" w:bidi="ar"/>
        </w:rPr>
        <w:t>7.</w:t>
      </w:r>
      <w:r>
        <w:rPr>
          <w:rFonts w:hint="eastAsia" w:ascii="宋体" w:hAnsi="宋体" w:eastAsia="宋体" w:cs="宋体"/>
          <w:color w:val="auto"/>
          <w:sz w:val="21"/>
          <w:szCs w:val="21"/>
          <w:highlight w:val="none"/>
          <w:lang w:eastAsia="zh-CN" w:bidi="ar"/>
        </w:rPr>
        <w:t>承包人违反合同约定采购和使用不合格的材料和工程设备的违约责任： 由承包人负责调换符合合同约定的材料或工程设备，由此产生的费用和（或）工期延误由承包人承担。</w:t>
      </w:r>
    </w:p>
    <w:p w14:paraId="19CDF962">
      <w:pPr>
        <w:pStyle w:val="34"/>
        <w:keepNext w:val="0"/>
        <w:keepLines w:val="0"/>
        <w:pageBreakBefore w:val="0"/>
        <w:widowControl w:val="0"/>
        <w:tabs>
          <w:tab w:val="left" w:pos="840"/>
        </w:tabs>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val="en-US" w:eastAsia="zh-CN" w:bidi="ar"/>
        </w:rPr>
        <w:t>8.</w:t>
      </w:r>
      <w:r>
        <w:rPr>
          <w:rFonts w:hint="eastAsia" w:ascii="宋体" w:hAnsi="宋体" w:eastAsia="宋体" w:cs="宋体"/>
          <w:color w:val="auto"/>
          <w:sz w:val="21"/>
          <w:szCs w:val="21"/>
          <w:highlight w:val="none"/>
          <w:lang w:eastAsia="zh-CN" w:bidi="ar"/>
        </w:rPr>
        <w:t>在施工过程中如因承包人原因造成重大质量事故的，除建设行政主管部门的行政处罚外，承包人应按下列标准支付违约金：100000元/次；造成死亡事件的，追加处以50000元/人次的违约金（与第2.3条人员死亡不作重复违约处理），违约金累计计算。</w:t>
      </w:r>
    </w:p>
    <w:p w14:paraId="1C3D06A5">
      <w:pPr>
        <w:pStyle w:val="34"/>
        <w:keepNext w:val="0"/>
        <w:keepLines w:val="0"/>
        <w:pageBreakBefore w:val="0"/>
        <w:widowControl w:val="0"/>
        <w:tabs>
          <w:tab w:val="left" w:pos="840"/>
        </w:tabs>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val="en-US" w:eastAsia="zh-CN" w:bidi="ar"/>
        </w:rPr>
        <w:t>9.</w:t>
      </w:r>
      <w:r>
        <w:rPr>
          <w:rFonts w:hint="eastAsia" w:ascii="宋体" w:hAnsi="宋体" w:eastAsia="宋体" w:cs="宋体"/>
          <w:color w:val="auto"/>
          <w:sz w:val="21"/>
          <w:szCs w:val="21"/>
          <w:highlight w:val="none"/>
          <w:lang w:eastAsia="zh-CN" w:bidi="ar"/>
        </w:rPr>
        <w:t>由于承包人原因影响单项工程（或节点）工期的，视为承包人违约，承包人应按下列标准支付违约金：每延期一天处合同价款的0.5‰，逾期违约金的上限： 不超过合同价款的5%。</w:t>
      </w:r>
    </w:p>
    <w:p w14:paraId="1B30D221">
      <w:pPr>
        <w:pStyle w:val="34"/>
        <w:keepNext w:val="0"/>
        <w:keepLines w:val="0"/>
        <w:pageBreakBefore w:val="0"/>
        <w:widowControl w:val="0"/>
        <w:tabs>
          <w:tab w:val="left" w:pos="840"/>
        </w:tabs>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val="en-US" w:eastAsia="zh-CN" w:bidi="ar"/>
        </w:rPr>
        <w:t>10.</w:t>
      </w:r>
      <w:r>
        <w:rPr>
          <w:rFonts w:hint="eastAsia" w:ascii="宋体" w:hAnsi="宋体" w:eastAsia="宋体" w:cs="宋体"/>
          <w:color w:val="auto"/>
          <w:sz w:val="21"/>
          <w:szCs w:val="21"/>
          <w:highlight w:val="none"/>
          <w:lang w:eastAsia="zh-CN" w:bidi="ar"/>
        </w:rPr>
        <w:t>由于承包人原因影响总工期的，承包人应按下列标准支付发包人违约金：每延期一天处合同价款的0.1% ，逾期竣工违约金的上限： 不超过合同价款的5%。</w:t>
      </w:r>
    </w:p>
    <w:p w14:paraId="4E409338">
      <w:pPr>
        <w:pStyle w:val="34"/>
        <w:keepNext w:val="0"/>
        <w:keepLines w:val="0"/>
        <w:pageBreakBefore w:val="0"/>
        <w:widowControl w:val="0"/>
        <w:tabs>
          <w:tab w:val="left" w:pos="840"/>
        </w:tabs>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val="en-US" w:eastAsia="zh-CN" w:bidi="ar"/>
        </w:rPr>
        <w:t>11.</w:t>
      </w:r>
      <w:r>
        <w:rPr>
          <w:rFonts w:hint="eastAsia" w:ascii="宋体" w:hAnsi="宋体" w:eastAsia="宋体" w:cs="宋体"/>
          <w:color w:val="auto"/>
          <w:sz w:val="21"/>
          <w:szCs w:val="21"/>
          <w:highlight w:val="none"/>
          <w:lang w:eastAsia="zh-CN" w:bidi="ar"/>
        </w:rPr>
        <w:t>承包人在缺陷责任期及保修期内，未能在合理期限对工程缺陷进行修复，或拒绝按发包人要求进行修复的违约责任：承包人向发包人支付违约金 5000元/次。发包人有权委托第三方修复，并扣除承包人相应金额的维修费用。</w:t>
      </w:r>
      <w:bookmarkStart w:id="19" w:name="_GoBack"/>
      <w:bookmarkEnd w:id="19"/>
    </w:p>
    <w:p w14:paraId="58BC644A">
      <w:pPr>
        <w:pStyle w:val="34"/>
        <w:keepNext w:val="0"/>
        <w:keepLines w:val="0"/>
        <w:pageBreakBefore w:val="0"/>
        <w:widowControl w:val="0"/>
        <w:tabs>
          <w:tab w:val="left" w:pos="840"/>
        </w:tabs>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12.</w:t>
      </w:r>
      <w:r>
        <w:rPr>
          <w:rFonts w:hint="eastAsia" w:ascii="宋体" w:hAnsi="宋体" w:eastAsia="宋体" w:cs="宋体"/>
          <w:color w:val="auto"/>
          <w:sz w:val="21"/>
          <w:szCs w:val="21"/>
          <w:highlight w:val="none"/>
          <w:lang w:eastAsia="zh-CN" w:bidi="ar"/>
        </w:rPr>
        <w:t>由于承包人原因造成信访（包含网上信访）事件，视承包人违约，承包人支付发包人违约金5000元/次。承包人在发包人限定时间内未解决相关问题消除上访事件或造成重复上访的，承包人支付发包人违约金1万元/次。</w:t>
      </w:r>
    </w:p>
    <w:p w14:paraId="6E94B0BF">
      <w:pPr>
        <w:pStyle w:val="34"/>
        <w:tabs>
          <w:tab w:val="left" w:pos="840"/>
        </w:tabs>
        <w:spacing w:line="360" w:lineRule="auto"/>
        <w:ind w:firstLine="420" w:firstLineChars="200"/>
        <w:rPr>
          <w:rFonts w:hint="eastAsia" w:ascii="宋体" w:cs="宋体"/>
          <w:color w:val="auto"/>
          <w:szCs w:val="21"/>
          <w:highlight w:val="none"/>
          <w:lang w:val="en-US" w:eastAsia="zh-CN"/>
        </w:rPr>
      </w:pPr>
    </w:p>
    <w:p w14:paraId="67CE9B03">
      <w:pPr>
        <w:pStyle w:val="34"/>
        <w:tabs>
          <w:tab w:val="left" w:pos="840"/>
        </w:tabs>
        <w:spacing w:line="360" w:lineRule="auto"/>
        <w:ind w:firstLine="420" w:firstLineChars="200"/>
        <w:rPr>
          <w:rFonts w:hint="default" w:ascii="宋体" w:eastAsia="宋体" w:cs="宋体"/>
          <w:color w:val="auto"/>
          <w:szCs w:val="21"/>
          <w:highlight w:val="none"/>
          <w:lang w:val="en-US" w:eastAsia="zh-CN"/>
        </w:rPr>
      </w:pPr>
      <w:r>
        <w:rPr>
          <w:rFonts w:hint="eastAsia" w:ascii="宋体" w:cs="宋体"/>
          <w:color w:val="auto"/>
          <w:szCs w:val="21"/>
          <w:highlight w:val="none"/>
          <w:lang w:val="en-US" w:eastAsia="zh-CN"/>
        </w:rPr>
        <w:t>附件：XXX图纸</w:t>
      </w:r>
    </w:p>
    <w:p w14:paraId="7D3D2450">
      <w:pPr>
        <w:pStyle w:val="34"/>
        <w:tabs>
          <w:tab w:val="left" w:pos="840"/>
        </w:tabs>
        <w:spacing w:line="360" w:lineRule="auto"/>
        <w:ind w:firstLine="0" w:firstLineChars="0"/>
        <w:rPr>
          <w:rFonts w:ascii="宋体" w:cs="宋体"/>
          <w:color w:val="auto"/>
          <w:szCs w:val="21"/>
          <w:highlight w:val="none"/>
        </w:rPr>
      </w:pPr>
    </w:p>
    <w:p w14:paraId="6DD1A430">
      <w:pPr>
        <w:pStyle w:val="34"/>
        <w:tabs>
          <w:tab w:val="left" w:pos="840"/>
        </w:tabs>
        <w:spacing w:line="360" w:lineRule="auto"/>
        <w:ind w:firstLine="0" w:firstLineChars="0"/>
        <w:rPr>
          <w:rFonts w:hint="eastAsia" w:ascii="宋体" w:cs="宋体"/>
          <w:color w:val="auto"/>
          <w:szCs w:val="21"/>
          <w:highlight w:val="none"/>
        </w:rPr>
      </w:pPr>
      <w:r>
        <w:rPr>
          <w:rFonts w:hint="eastAsia" w:ascii="宋体" w:cs="宋体"/>
          <w:color w:val="auto"/>
          <w:szCs w:val="21"/>
          <w:highlight w:val="none"/>
        </w:rPr>
        <w:t>注：</w:t>
      </w:r>
      <w:r>
        <w:rPr>
          <w:rFonts w:hint="eastAsia" w:ascii="宋体" w:hAnsi="宋体" w:eastAsia="宋体" w:cs="宋体"/>
          <w:color w:val="auto"/>
          <w:highlight w:val="none"/>
        </w:rPr>
        <w:t>标★为不可偏离条款，如出现负偏离，将被视为未实质性满足招标文件要求，作投标无效处理。标“▲”指标项为重要条款，负偏离时依相关项目需求由专家判定是否</w:t>
      </w:r>
      <w:r>
        <w:rPr>
          <w:rFonts w:hint="eastAsia" w:ascii="宋体" w:hAnsi="宋体" w:eastAsia="宋体" w:cs="宋体"/>
          <w:color w:val="auto"/>
          <w:highlight w:val="none"/>
          <w:lang w:val="en-US" w:eastAsia="zh-CN"/>
        </w:rPr>
        <w:t>扣分或</w:t>
      </w:r>
      <w:r>
        <w:rPr>
          <w:rFonts w:hint="eastAsia" w:ascii="宋体" w:hAnsi="宋体" w:eastAsia="宋体" w:cs="宋体"/>
          <w:color w:val="auto"/>
          <w:highlight w:val="none"/>
        </w:rPr>
        <w:t>进行投标无效处理</w:t>
      </w:r>
    </w:p>
    <w:p w14:paraId="48CFF26A">
      <w:pPr>
        <w:pStyle w:val="34"/>
        <w:tabs>
          <w:tab w:val="left" w:pos="840"/>
        </w:tabs>
        <w:spacing w:line="360" w:lineRule="auto"/>
        <w:ind w:firstLine="420" w:firstLineChars="200"/>
        <w:rPr>
          <w:rFonts w:ascii="宋体" w:cs="宋体"/>
          <w:color w:val="auto"/>
          <w:szCs w:val="21"/>
          <w:highlight w:val="none"/>
        </w:rPr>
      </w:pPr>
      <w:r>
        <w:rPr>
          <w:rFonts w:hint="eastAsia" w:ascii="宋体" w:cs="宋体"/>
          <w:color w:val="auto"/>
          <w:szCs w:val="21"/>
          <w:highlight w:val="none"/>
        </w:rPr>
        <w:t>本章节中“</w:t>
      </w:r>
      <w:r>
        <w:rPr>
          <w:rFonts w:hint="eastAsia" w:ascii="宋体" w:cs="宋体"/>
          <w:color w:val="auto"/>
          <w:szCs w:val="21"/>
          <w:highlight w:val="none"/>
          <w:lang w:eastAsia="zh-CN"/>
        </w:rPr>
        <w:t>采购人</w:t>
      </w:r>
      <w:r>
        <w:rPr>
          <w:rFonts w:hint="eastAsia" w:ascii="宋体" w:cs="宋体"/>
          <w:color w:val="auto"/>
          <w:szCs w:val="21"/>
          <w:highlight w:val="none"/>
        </w:rPr>
        <w:t>”、“甲方”指采购人，“投标人”、“乙方”</w:t>
      </w:r>
      <w:r>
        <w:rPr>
          <w:rFonts w:hint="eastAsia" w:ascii="宋体" w:cs="宋体"/>
          <w:color w:val="auto"/>
          <w:szCs w:val="21"/>
          <w:highlight w:val="none"/>
          <w:lang w:eastAsia="zh-CN"/>
        </w:rPr>
        <w:t>、“</w:t>
      </w:r>
      <w:r>
        <w:rPr>
          <w:rFonts w:hint="eastAsia" w:ascii="宋体" w:cs="宋体"/>
          <w:color w:val="auto"/>
          <w:szCs w:val="21"/>
          <w:highlight w:val="none"/>
          <w:lang w:val="en-US" w:eastAsia="zh-CN"/>
        </w:rPr>
        <w:t>供应商”</w:t>
      </w:r>
      <w:r>
        <w:rPr>
          <w:rFonts w:hint="eastAsia" w:ascii="宋体" w:cs="宋体"/>
          <w:color w:val="auto"/>
          <w:szCs w:val="21"/>
          <w:highlight w:val="none"/>
        </w:rPr>
        <w:t>指本项目的中标人。</w:t>
      </w:r>
    </w:p>
    <w:p w14:paraId="303803C3">
      <w:pPr>
        <w:rPr>
          <w:rFonts w:hint="eastAsia" w:ascii="宋体" w:hAnsi="宋体" w:eastAsia="宋体" w:cs="宋体"/>
          <w:color w:val="auto"/>
          <w:kern w:val="0"/>
          <w:szCs w:val="21"/>
          <w:highlight w:val="none"/>
          <w:lang w:val="en-US" w:eastAsia="zh-CN"/>
        </w:rPr>
      </w:pPr>
    </w:p>
    <w:sectPr>
      <w:headerReference r:id="rId3" w:type="default"/>
      <w:footerReference r:id="rId4" w:type="default"/>
      <w:pgSz w:w="11906" w:h="16838"/>
      <w:pgMar w:top="1417" w:right="1417" w:bottom="1361" w:left="1417" w:header="851" w:footer="992" w:gutter="0"/>
      <w:pgNumType w:fmt="decimal"/>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0F57E16-5CA3-4643-9B76-A762A7B8DA17}"/>
  </w:font>
  <w:font w:name="Courier New">
    <w:panose1 w:val="02070309020205020404"/>
    <w:charset w:val="01"/>
    <w:family w:val="modern"/>
    <w:pitch w:val="default"/>
    <w:sig w:usb0="E0002EFF" w:usb1="C0007843" w:usb2="00000009" w:usb3="00000000" w:csb0="400001FF" w:csb1="FFFF0000"/>
    <w:embedRegular r:id="rId2" w:fontKey="{A5D6E464-18FB-4E9A-935C-1E34A4526E5C}"/>
  </w:font>
  <w:font w:name="Symbol">
    <w:panose1 w:val="05050102010706020507"/>
    <w:charset w:val="02"/>
    <w:family w:val="roman"/>
    <w:pitch w:val="default"/>
    <w:sig w:usb0="00000000" w:usb1="00000000" w:usb2="00000000" w:usb3="00000000" w:csb0="80000000" w:csb1="00000000"/>
    <w:embedRegular r:id="rId3" w:fontKey="{42ABF7EB-DBF4-48AE-A727-99A5E1931519}"/>
  </w:font>
  <w:font w:name="Calibri">
    <w:panose1 w:val="020F0502020204030204"/>
    <w:charset w:val="00"/>
    <w:family w:val="swiss"/>
    <w:pitch w:val="default"/>
    <w:sig w:usb0="E4002EFF" w:usb1="C000247B" w:usb2="00000009" w:usb3="00000000" w:csb0="200001FF" w:csb1="00000000"/>
    <w:embedRegular r:id="rId4" w:fontKey="{F07EB5FA-FDC0-42E5-9755-03E5E41957C7}"/>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embedRegular r:id="rId5" w:fontKey="{E57E282B-6AAC-4E0C-9050-34D80825498E}"/>
  </w:font>
  <w:font w:name="微软雅黑">
    <w:panose1 w:val="020B0503020204020204"/>
    <w:charset w:val="86"/>
    <w:family w:val="auto"/>
    <w:pitch w:val="default"/>
    <w:sig w:usb0="80000287" w:usb1="2ACF3C50" w:usb2="00000016" w:usb3="00000000" w:csb0="0004001F" w:csb1="00000000"/>
    <w:embedRegular r:id="rId6" w:fontKey="{EFE45C00-84BB-4CA5-BE18-05CC05E57D2C}"/>
  </w:font>
  <w:font w:name="仿宋体">
    <w:altName w:val="宋体"/>
    <w:panose1 w:val="00000000000000000000"/>
    <w:charset w:val="86"/>
    <w:family w:val="auto"/>
    <w:pitch w:val="default"/>
    <w:sig w:usb0="00000000" w:usb1="00000000" w:usb2="00000010" w:usb3="00000000" w:csb0="00040000" w:csb1="00000000"/>
    <w:embedRegular r:id="rId7" w:fontKey="{0B659AC5-210C-454F-8B93-C81589F9E0E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DD222">
    <w:pPr>
      <w:pStyle w:val="17"/>
      <w:tabs>
        <w:tab w:val="clear" w:pos="4153"/>
      </w:tabs>
      <w:spacing w:before="120"/>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F38977">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FF38977">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89944">
    <w:pPr>
      <w:pStyle w:val="19"/>
      <w:pBdr>
        <w:bottom w:val="none" w:color="auto" w:sz="0" w:space="0"/>
      </w:pBdr>
      <w:spacing w:before="1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E6231A"/>
    <w:multiLevelType w:val="singleLevel"/>
    <w:tmpl w:val="80E6231A"/>
    <w:lvl w:ilvl="0" w:tentative="0">
      <w:start w:val="1"/>
      <w:numFmt w:val="decimal"/>
      <w:lvlText w:val="(%1)"/>
      <w:lvlJc w:val="left"/>
      <w:pPr>
        <w:ind w:left="425" w:hanging="425"/>
      </w:pPr>
      <w:rPr>
        <w:rFonts w:hint="default"/>
      </w:rPr>
    </w:lvl>
  </w:abstractNum>
  <w:abstractNum w:abstractNumId="1">
    <w:nsid w:val="8F39ED62"/>
    <w:multiLevelType w:val="singleLevel"/>
    <w:tmpl w:val="8F39ED62"/>
    <w:lvl w:ilvl="0" w:tentative="0">
      <w:start w:val="1"/>
      <w:numFmt w:val="decimal"/>
      <w:suff w:val="nothing"/>
      <w:lvlText w:val="%1．"/>
      <w:lvlJc w:val="left"/>
      <w:pPr>
        <w:ind w:left="0" w:firstLine="400"/>
      </w:pPr>
      <w:rPr>
        <w:rFonts w:hint="default"/>
      </w:rPr>
    </w:lvl>
  </w:abstractNum>
  <w:abstractNum w:abstractNumId="2">
    <w:nsid w:val="9040F538"/>
    <w:multiLevelType w:val="singleLevel"/>
    <w:tmpl w:val="9040F538"/>
    <w:lvl w:ilvl="0" w:tentative="0">
      <w:start w:val="1"/>
      <w:numFmt w:val="decimal"/>
      <w:suff w:val="nothing"/>
      <w:lvlText w:val="%1．"/>
      <w:lvlJc w:val="left"/>
      <w:pPr>
        <w:ind w:left="0" w:firstLine="400"/>
      </w:pPr>
      <w:rPr>
        <w:rFonts w:hint="default"/>
      </w:rPr>
    </w:lvl>
  </w:abstractNum>
  <w:abstractNum w:abstractNumId="3">
    <w:nsid w:val="BEE8639C"/>
    <w:multiLevelType w:val="singleLevel"/>
    <w:tmpl w:val="BEE8639C"/>
    <w:lvl w:ilvl="0" w:tentative="0">
      <w:start w:val="1"/>
      <w:numFmt w:val="decimal"/>
      <w:lvlText w:val="(%1)"/>
      <w:lvlJc w:val="left"/>
      <w:pPr>
        <w:ind w:left="425" w:hanging="425"/>
      </w:pPr>
      <w:rPr>
        <w:rFonts w:hint="default"/>
      </w:rPr>
    </w:lvl>
  </w:abstractNum>
  <w:abstractNum w:abstractNumId="4">
    <w:nsid w:val="EE48A5EF"/>
    <w:multiLevelType w:val="singleLevel"/>
    <w:tmpl w:val="EE48A5EF"/>
    <w:lvl w:ilvl="0" w:tentative="0">
      <w:start w:val="1"/>
      <w:numFmt w:val="decimal"/>
      <w:suff w:val="nothing"/>
      <w:lvlText w:val="%1．"/>
      <w:lvlJc w:val="left"/>
      <w:pPr>
        <w:ind w:left="0" w:firstLine="400"/>
      </w:pPr>
      <w:rPr>
        <w:rFonts w:hint="default"/>
      </w:rPr>
    </w:lvl>
  </w:abstractNum>
  <w:abstractNum w:abstractNumId="5">
    <w:nsid w:val="F2C4E257"/>
    <w:multiLevelType w:val="singleLevel"/>
    <w:tmpl w:val="F2C4E257"/>
    <w:lvl w:ilvl="0" w:tentative="0">
      <w:start w:val="1"/>
      <w:numFmt w:val="decimalEnclosedCircleChinese"/>
      <w:suff w:val="nothing"/>
      <w:lvlText w:val="%1　"/>
      <w:lvlJc w:val="left"/>
      <w:pPr>
        <w:ind w:left="0" w:firstLine="400"/>
      </w:pPr>
      <w:rPr>
        <w:rFonts w:hint="eastAsia"/>
      </w:rPr>
    </w:lvl>
  </w:abstractNum>
  <w:abstractNum w:abstractNumId="6">
    <w:nsid w:val="FA3B6AF8"/>
    <w:multiLevelType w:val="singleLevel"/>
    <w:tmpl w:val="FA3B6AF8"/>
    <w:lvl w:ilvl="0" w:tentative="0">
      <w:start w:val="1"/>
      <w:numFmt w:val="chineseCounting"/>
      <w:pStyle w:val="4"/>
      <w:suff w:val="nothing"/>
      <w:lvlText w:val="%1、"/>
      <w:lvlJc w:val="left"/>
      <w:pPr>
        <w:ind w:left="0" w:firstLine="420"/>
      </w:pPr>
      <w:rPr>
        <w:rFonts w:hint="eastAsia"/>
      </w:rPr>
    </w:lvl>
  </w:abstractNum>
  <w:abstractNum w:abstractNumId="7">
    <w:nsid w:val="FD483FE3"/>
    <w:multiLevelType w:val="singleLevel"/>
    <w:tmpl w:val="FD483FE3"/>
    <w:lvl w:ilvl="0" w:tentative="0">
      <w:start w:val="1"/>
      <w:numFmt w:val="decimal"/>
      <w:suff w:val="nothing"/>
      <w:lvlText w:val="%1．"/>
      <w:lvlJc w:val="left"/>
      <w:pPr>
        <w:ind w:left="0" w:firstLine="400"/>
      </w:pPr>
      <w:rPr>
        <w:rFonts w:hint="default"/>
      </w:rPr>
    </w:lvl>
  </w:abstractNum>
  <w:abstractNum w:abstractNumId="8">
    <w:nsid w:val="09E76863"/>
    <w:multiLevelType w:val="singleLevel"/>
    <w:tmpl w:val="09E76863"/>
    <w:lvl w:ilvl="0" w:tentative="0">
      <w:start w:val="1"/>
      <w:numFmt w:val="decimal"/>
      <w:lvlText w:val="(%1)"/>
      <w:lvlJc w:val="left"/>
      <w:pPr>
        <w:ind w:left="425" w:hanging="425"/>
      </w:pPr>
      <w:rPr>
        <w:rFonts w:hint="default"/>
      </w:rPr>
    </w:lvl>
  </w:abstractNum>
  <w:abstractNum w:abstractNumId="9">
    <w:nsid w:val="12B66056"/>
    <w:multiLevelType w:val="singleLevel"/>
    <w:tmpl w:val="12B66056"/>
    <w:lvl w:ilvl="0" w:tentative="0">
      <w:start w:val="1"/>
      <w:numFmt w:val="decimal"/>
      <w:suff w:val="nothing"/>
      <w:lvlText w:val="%1．"/>
      <w:lvlJc w:val="left"/>
      <w:pPr>
        <w:ind w:left="0" w:firstLine="400"/>
      </w:pPr>
      <w:rPr>
        <w:rFonts w:hint="default"/>
      </w:rPr>
    </w:lvl>
  </w:abstractNum>
  <w:abstractNum w:abstractNumId="10">
    <w:nsid w:val="1C36A488"/>
    <w:multiLevelType w:val="singleLevel"/>
    <w:tmpl w:val="1C36A488"/>
    <w:lvl w:ilvl="0" w:tentative="0">
      <w:start w:val="1"/>
      <w:numFmt w:val="decimal"/>
      <w:lvlText w:val="(%1)"/>
      <w:lvlJc w:val="left"/>
      <w:pPr>
        <w:ind w:left="425" w:hanging="425"/>
      </w:pPr>
      <w:rPr>
        <w:rFonts w:hint="default"/>
      </w:rPr>
    </w:lvl>
  </w:abstractNum>
  <w:abstractNum w:abstractNumId="11">
    <w:nsid w:val="29ED342C"/>
    <w:multiLevelType w:val="multilevel"/>
    <w:tmpl w:val="29ED342C"/>
    <w:lvl w:ilvl="0" w:tentative="0">
      <w:start w:val="1"/>
      <w:numFmt w:val="decimal"/>
      <w:pStyle w:val="7"/>
      <w:lvlText w:val="%1、"/>
      <w:lvlJc w:val="left"/>
      <w:pPr>
        <w:ind w:left="900" w:hanging="4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2">
    <w:nsid w:val="2D544130"/>
    <w:multiLevelType w:val="singleLevel"/>
    <w:tmpl w:val="2D544130"/>
    <w:lvl w:ilvl="0" w:tentative="0">
      <w:start w:val="1"/>
      <w:numFmt w:val="decimal"/>
      <w:lvlText w:val="(%1)"/>
      <w:lvlJc w:val="left"/>
      <w:pPr>
        <w:ind w:left="425" w:hanging="425"/>
      </w:pPr>
      <w:rPr>
        <w:rFonts w:hint="default"/>
      </w:rPr>
    </w:lvl>
  </w:abstractNum>
  <w:abstractNum w:abstractNumId="13">
    <w:nsid w:val="356FF119"/>
    <w:multiLevelType w:val="singleLevel"/>
    <w:tmpl w:val="356FF119"/>
    <w:lvl w:ilvl="0" w:tentative="0">
      <w:start w:val="1"/>
      <w:numFmt w:val="decimal"/>
      <w:lvlText w:val="(%1)"/>
      <w:lvlJc w:val="left"/>
      <w:pPr>
        <w:ind w:left="425" w:hanging="425"/>
      </w:pPr>
      <w:rPr>
        <w:rFonts w:hint="default"/>
      </w:rPr>
    </w:lvl>
  </w:abstractNum>
  <w:abstractNum w:abstractNumId="14">
    <w:nsid w:val="37813CCC"/>
    <w:multiLevelType w:val="singleLevel"/>
    <w:tmpl w:val="37813CCC"/>
    <w:lvl w:ilvl="0" w:tentative="0">
      <w:start w:val="1"/>
      <w:numFmt w:val="decimal"/>
      <w:suff w:val="nothing"/>
      <w:lvlText w:val="%1．"/>
      <w:lvlJc w:val="left"/>
      <w:pPr>
        <w:ind w:left="0" w:firstLine="400"/>
      </w:pPr>
      <w:rPr>
        <w:rFonts w:hint="default"/>
      </w:rPr>
    </w:lvl>
  </w:abstractNum>
  <w:abstractNum w:abstractNumId="15">
    <w:nsid w:val="41BC55CE"/>
    <w:multiLevelType w:val="singleLevel"/>
    <w:tmpl w:val="41BC55CE"/>
    <w:lvl w:ilvl="0" w:tentative="0">
      <w:start w:val="1"/>
      <w:numFmt w:val="chineseCounting"/>
      <w:suff w:val="nothing"/>
      <w:lvlText w:val="%1、"/>
      <w:lvlJc w:val="left"/>
      <w:rPr>
        <w:rFonts w:hint="eastAsia"/>
      </w:rPr>
    </w:lvl>
  </w:abstractNum>
  <w:abstractNum w:abstractNumId="16">
    <w:nsid w:val="5AF74FB1"/>
    <w:multiLevelType w:val="singleLevel"/>
    <w:tmpl w:val="5AF74FB1"/>
    <w:lvl w:ilvl="0" w:tentative="0">
      <w:start w:val="1"/>
      <w:numFmt w:val="chineseCounting"/>
      <w:suff w:val="space"/>
      <w:lvlText w:val="第%1章 "/>
      <w:lvlJc w:val="left"/>
      <w:pPr>
        <w:tabs>
          <w:tab w:val="left" w:pos="0"/>
        </w:tabs>
      </w:pPr>
      <w:rPr>
        <w:rFonts w:hint="eastAsia" w:ascii="宋体" w:hAnsi="宋体" w:eastAsia="宋体" w:cs="宋体"/>
      </w:rPr>
    </w:lvl>
  </w:abstractNum>
  <w:num w:numId="1">
    <w:abstractNumId w:val="6"/>
  </w:num>
  <w:num w:numId="2">
    <w:abstractNumId w:val="11"/>
  </w:num>
  <w:num w:numId="3">
    <w:abstractNumId w:val="16"/>
  </w:num>
  <w:num w:numId="4">
    <w:abstractNumId w:val="15"/>
  </w:num>
  <w:num w:numId="5">
    <w:abstractNumId w:val="0"/>
  </w:num>
  <w:num w:numId="6">
    <w:abstractNumId w:val="8"/>
  </w:num>
  <w:num w:numId="7">
    <w:abstractNumId w:val="5"/>
  </w:num>
  <w:num w:numId="8">
    <w:abstractNumId w:val="3"/>
  </w:num>
  <w:num w:numId="9">
    <w:abstractNumId w:val="7"/>
  </w:num>
  <w:num w:numId="10">
    <w:abstractNumId w:val="14"/>
  </w:num>
  <w:num w:numId="11">
    <w:abstractNumId w:val="9"/>
  </w:num>
  <w:num w:numId="12">
    <w:abstractNumId w:val="1"/>
  </w:num>
  <w:num w:numId="13">
    <w:abstractNumId w:val="13"/>
  </w:num>
  <w:num w:numId="14">
    <w:abstractNumId w:val="12"/>
  </w:num>
  <w:num w:numId="15">
    <w:abstractNumId w:val="10"/>
  </w:num>
  <w:num w:numId="16">
    <w:abstractNumId w:val="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trackRevisions w:val="1"/>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I2ZmE3OThmODhjNmY4YmU1ZTAyMDY5NTNhMjk4NjMifQ=="/>
  </w:docVars>
  <w:rsids>
    <w:rsidRoot w:val="66CE6E60"/>
    <w:rsid w:val="00027B43"/>
    <w:rsid w:val="000408B6"/>
    <w:rsid w:val="00074646"/>
    <w:rsid w:val="000807B3"/>
    <w:rsid w:val="00096D00"/>
    <w:rsid w:val="000C224A"/>
    <w:rsid w:val="00190889"/>
    <w:rsid w:val="00194E98"/>
    <w:rsid w:val="001B2E52"/>
    <w:rsid w:val="001C728B"/>
    <w:rsid w:val="001F1CFB"/>
    <w:rsid w:val="00222AA2"/>
    <w:rsid w:val="0024441C"/>
    <w:rsid w:val="00257EFD"/>
    <w:rsid w:val="00291FB1"/>
    <w:rsid w:val="002A2C8E"/>
    <w:rsid w:val="00303DAA"/>
    <w:rsid w:val="00307E35"/>
    <w:rsid w:val="0031236C"/>
    <w:rsid w:val="003350F6"/>
    <w:rsid w:val="00356AF3"/>
    <w:rsid w:val="0036593C"/>
    <w:rsid w:val="00440131"/>
    <w:rsid w:val="004510D3"/>
    <w:rsid w:val="0047670E"/>
    <w:rsid w:val="0048004F"/>
    <w:rsid w:val="004B1003"/>
    <w:rsid w:val="00523054"/>
    <w:rsid w:val="00524D4B"/>
    <w:rsid w:val="00526200"/>
    <w:rsid w:val="00537773"/>
    <w:rsid w:val="00565B4F"/>
    <w:rsid w:val="00570BDF"/>
    <w:rsid w:val="005B1836"/>
    <w:rsid w:val="005C7EDA"/>
    <w:rsid w:val="005F5D32"/>
    <w:rsid w:val="00602BAC"/>
    <w:rsid w:val="00616C7A"/>
    <w:rsid w:val="00626B13"/>
    <w:rsid w:val="006360BD"/>
    <w:rsid w:val="00650B20"/>
    <w:rsid w:val="00681865"/>
    <w:rsid w:val="00681E4B"/>
    <w:rsid w:val="006C11FD"/>
    <w:rsid w:val="006C2C9B"/>
    <w:rsid w:val="00732078"/>
    <w:rsid w:val="007359D4"/>
    <w:rsid w:val="00742083"/>
    <w:rsid w:val="00750E3B"/>
    <w:rsid w:val="007B2027"/>
    <w:rsid w:val="007F7D67"/>
    <w:rsid w:val="00811EE7"/>
    <w:rsid w:val="00816178"/>
    <w:rsid w:val="00837D11"/>
    <w:rsid w:val="008406D9"/>
    <w:rsid w:val="008703D2"/>
    <w:rsid w:val="0087677B"/>
    <w:rsid w:val="008965D4"/>
    <w:rsid w:val="008A3A33"/>
    <w:rsid w:val="008B53F0"/>
    <w:rsid w:val="008E74B5"/>
    <w:rsid w:val="00914363"/>
    <w:rsid w:val="00975657"/>
    <w:rsid w:val="0098388D"/>
    <w:rsid w:val="00990F1E"/>
    <w:rsid w:val="009A6103"/>
    <w:rsid w:val="009C135E"/>
    <w:rsid w:val="009F2E6D"/>
    <w:rsid w:val="009F6603"/>
    <w:rsid w:val="00A50795"/>
    <w:rsid w:val="00A51F29"/>
    <w:rsid w:val="00A70892"/>
    <w:rsid w:val="00A714B7"/>
    <w:rsid w:val="00A920B9"/>
    <w:rsid w:val="00A96030"/>
    <w:rsid w:val="00AC60C4"/>
    <w:rsid w:val="00AE526E"/>
    <w:rsid w:val="00B062DA"/>
    <w:rsid w:val="00B40468"/>
    <w:rsid w:val="00B61820"/>
    <w:rsid w:val="00B7327C"/>
    <w:rsid w:val="00B76CFD"/>
    <w:rsid w:val="00B770DD"/>
    <w:rsid w:val="00B92F60"/>
    <w:rsid w:val="00C13D25"/>
    <w:rsid w:val="00C15E84"/>
    <w:rsid w:val="00C41745"/>
    <w:rsid w:val="00CB1CD9"/>
    <w:rsid w:val="00CE0541"/>
    <w:rsid w:val="00CE5CB2"/>
    <w:rsid w:val="00CF0746"/>
    <w:rsid w:val="00CF3ED8"/>
    <w:rsid w:val="00D26D9F"/>
    <w:rsid w:val="00D8590D"/>
    <w:rsid w:val="00DA0E84"/>
    <w:rsid w:val="00DA657F"/>
    <w:rsid w:val="00DD6557"/>
    <w:rsid w:val="00DE075F"/>
    <w:rsid w:val="00DE5801"/>
    <w:rsid w:val="00DF4A2E"/>
    <w:rsid w:val="00E02F66"/>
    <w:rsid w:val="00E23E60"/>
    <w:rsid w:val="00E352C6"/>
    <w:rsid w:val="00E42EC0"/>
    <w:rsid w:val="00E6298F"/>
    <w:rsid w:val="00E81292"/>
    <w:rsid w:val="00F3213B"/>
    <w:rsid w:val="00F45807"/>
    <w:rsid w:val="00F66DDC"/>
    <w:rsid w:val="00F81549"/>
    <w:rsid w:val="01311F6E"/>
    <w:rsid w:val="015C48BA"/>
    <w:rsid w:val="01613B59"/>
    <w:rsid w:val="01967F64"/>
    <w:rsid w:val="01B1595F"/>
    <w:rsid w:val="01CB207D"/>
    <w:rsid w:val="01EC20E2"/>
    <w:rsid w:val="02073B60"/>
    <w:rsid w:val="02300408"/>
    <w:rsid w:val="02EA3AAE"/>
    <w:rsid w:val="02FF5E45"/>
    <w:rsid w:val="03233332"/>
    <w:rsid w:val="03257414"/>
    <w:rsid w:val="03443858"/>
    <w:rsid w:val="035B12CD"/>
    <w:rsid w:val="038A1BB2"/>
    <w:rsid w:val="038A570F"/>
    <w:rsid w:val="03947474"/>
    <w:rsid w:val="03A942BE"/>
    <w:rsid w:val="03C50E3C"/>
    <w:rsid w:val="03D746CC"/>
    <w:rsid w:val="03E05C76"/>
    <w:rsid w:val="04205325"/>
    <w:rsid w:val="045930B9"/>
    <w:rsid w:val="04653E0C"/>
    <w:rsid w:val="04AD3DAA"/>
    <w:rsid w:val="04EB494D"/>
    <w:rsid w:val="04F027A9"/>
    <w:rsid w:val="051A5F65"/>
    <w:rsid w:val="0531798F"/>
    <w:rsid w:val="05467D5B"/>
    <w:rsid w:val="05494495"/>
    <w:rsid w:val="054B2F85"/>
    <w:rsid w:val="055D0C37"/>
    <w:rsid w:val="057654C1"/>
    <w:rsid w:val="05FA4E5A"/>
    <w:rsid w:val="061816F7"/>
    <w:rsid w:val="0627193B"/>
    <w:rsid w:val="06340B6A"/>
    <w:rsid w:val="06720444"/>
    <w:rsid w:val="067526A6"/>
    <w:rsid w:val="06A9524A"/>
    <w:rsid w:val="06AE35EE"/>
    <w:rsid w:val="06B678C2"/>
    <w:rsid w:val="06DF5D71"/>
    <w:rsid w:val="06F3181D"/>
    <w:rsid w:val="073E4BF9"/>
    <w:rsid w:val="075C3112"/>
    <w:rsid w:val="078609FB"/>
    <w:rsid w:val="078D1C35"/>
    <w:rsid w:val="07BA20E5"/>
    <w:rsid w:val="07D1069B"/>
    <w:rsid w:val="07D66585"/>
    <w:rsid w:val="081A2344"/>
    <w:rsid w:val="087D1CE6"/>
    <w:rsid w:val="08AC7C46"/>
    <w:rsid w:val="0906715B"/>
    <w:rsid w:val="095F3199"/>
    <w:rsid w:val="09627775"/>
    <w:rsid w:val="09722ECD"/>
    <w:rsid w:val="09764E42"/>
    <w:rsid w:val="09893775"/>
    <w:rsid w:val="09DB6923"/>
    <w:rsid w:val="0A287A2F"/>
    <w:rsid w:val="0A2D14EA"/>
    <w:rsid w:val="0A4707FD"/>
    <w:rsid w:val="0A8D139E"/>
    <w:rsid w:val="0A8E1F88"/>
    <w:rsid w:val="0A8F5D00"/>
    <w:rsid w:val="0AB35E75"/>
    <w:rsid w:val="0AB44861"/>
    <w:rsid w:val="0AF439A4"/>
    <w:rsid w:val="0B00275A"/>
    <w:rsid w:val="0B1C57E6"/>
    <w:rsid w:val="0B216051"/>
    <w:rsid w:val="0B364E9B"/>
    <w:rsid w:val="0B750B0D"/>
    <w:rsid w:val="0B8E7D66"/>
    <w:rsid w:val="0BAB4DBC"/>
    <w:rsid w:val="0BF91683"/>
    <w:rsid w:val="0C746096"/>
    <w:rsid w:val="0C7B29E0"/>
    <w:rsid w:val="0C7E7DDA"/>
    <w:rsid w:val="0C8C24F7"/>
    <w:rsid w:val="0CC37D7B"/>
    <w:rsid w:val="0CC564EA"/>
    <w:rsid w:val="0CE42698"/>
    <w:rsid w:val="0CEF0CD8"/>
    <w:rsid w:val="0D077DD0"/>
    <w:rsid w:val="0D3C66BC"/>
    <w:rsid w:val="0D3E76AD"/>
    <w:rsid w:val="0D942386"/>
    <w:rsid w:val="0D961154"/>
    <w:rsid w:val="0D994D85"/>
    <w:rsid w:val="0DA27AF9"/>
    <w:rsid w:val="0DAA10B6"/>
    <w:rsid w:val="0DC04601"/>
    <w:rsid w:val="0DED6FC6"/>
    <w:rsid w:val="0DEE6983"/>
    <w:rsid w:val="0E3A013F"/>
    <w:rsid w:val="0E4D5CB6"/>
    <w:rsid w:val="0E56042C"/>
    <w:rsid w:val="0E6354DA"/>
    <w:rsid w:val="0E8B29FF"/>
    <w:rsid w:val="0E8F0E80"/>
    <w:rsid w:val="0E914AF4"/>
    <w:rsid w:val="0EB84344"/>
    <w:rsid w:val="0ECF491D"/>
    <w:rsid w:val="0EED4169"/>
    <w:rsid w:val="0F00330E"/>
    <w:rsid w:val="0F0C402A"/>
    <w:rsid w:val="0F3330FE"/>
    <w:rsid w:val="0F6610B5"/>
    <w:rsid w:val="0F956327"/>
    <w:rsid w:val="0FA63EB6"/>
    <w:rsid w:val="0FFD24DD"/>
    <w:rsid w:val="101C3B92"/>
    <w:rsid w:val="10294501"/>
    <w:rsid w:val="102A4829"/>
    <w:rsid w:val="109B53FF"/>
    <w:rsid w:val="10D2091B"/>
    <w:rsid w:val="10D6033B"/>
    <w:rsid w:val="116A1C17"/>
    <w:rsid w:val="119A3908"/>
    <w:rsid w:val="119C737F"/>
    <w:rsid w:val="119D3A3E"/>
    <w:rsid w:val="11A025A1"/>
    <w:rsid w:val="11B100D2"/>
    <w:rsid w:val="11B80A78"/>
    <w:rsid w:val="11C279F1"/>
    <w:rsid w:val="11DF4CFF"/>
    <w:rsid w:val="11ED6B84"/>
    <w:rsid w:val="12062D04"/>
    <w:rsid w:val="123013A1"/>
    <w:rsid w:val="12A012BE"/>
    <w:rsid w:val="12C60A26"/>
    <w:rsid w:val="12E656F8"/>
    <w:rsid w:val="12E82452"/>
    <w:rsid w:val="134E6759"/>
    <w:rsid w:val="135140A0"/>
    <w:rsid w:val="135C3678"/>
    <w:rsid w:val="13620456"/>
    <w:rsid w:val="137B1518"/>
    <w:rsid w:val="139B09DA"/>
    <w:rsid w:val="14397409"/>
    <w:rsid w:val="14590AF0"/>
    <w:rsid w:val="14985759"/>
    <w:rsid w:val="14A9017C"/>
    <w:rsid w:val="14C252D6"/>
    <w:rsid w:val="14E03753"/>
    <w:rsid w:val="150D619F"/>
    <w:rsid w:val="151B08BC"/>
    <w:rsid w:val="153B44F3"/>
    <w:rsid w:val="15487AFB"/>
    <w:rsid w:val="155913E5"/>
    <w:rsid w:val="155D514E"/>
    <w:rsid w:val="157C0577"/>
    <w:rsid w:val="159168D8"/>
    <w:rsid w:val="15B64A89"/>
    <w:rsid w:val="15C24241"/>
    <w:rsid w:val="15DA0777"/>
    <w:rsid w:val="15E81B89"/>
    <w:rsid w:val="1626760F"/>
    <w:rsid w:val="16522EBE"/>
    <w:rsid w:val="165D2E54"/>
    <w:rsid w:val="16B66F1B"/>
    <w:rsid w:val="16CB6312"/>
    <w:rsid w:val="171B54BE"/>
    <w:rsid w:val="17573FD8"/>
    <w:rsid w:val="175E7186"/>
    <w:rsid w:val="178163B5"/>
    <w:rsid w:val="17852761"/>
    <w:rsid w:val="17A236EE"/>
    <w:rsid w:val="17C75113"/>
    <w:rsid w:val="17DF2C4E"/>
    <w:rsid w:val="181F6A55"/>
    <w:rsid w:val="188B3FAB"/>
    <w:rsid w:val="18C860B7"/>
    <w:rsid w:val="18D1237C"/>
    <w:rsid w:val="18E95275"/>
    <w:rsid w:val="1917300C"/>
    <w:rsid w:val="192E4467"/>
    <w:rsid w:val="1934034A"/>
    <w:rsid w:val="19397563"/>
    <w:rsid w:val="194C26B1"/>
    <w:rsid w:val="19C05ED6"/>
    <w:rsid w:val="19D11E91"/>
    <w:rsid w:val="19E20369"/>
    <w:rsid w:val="19E75211"/>
    <w:rsid w:val="19ED1F05"/>
    <w:rsid w:val="1A226ECD"/>
    <w:rsid w:val="1A304E0A"/>
    <w:rsid w:val="1A375E39"/>
    <w:rsid w:val="1A980548"/>
    <w:rsid w:val="1AA8432A"/>
    <w:rsid w:val="1AAC18D1"/>
    <w:rsid w:val="1AAC69B5"/>
    <w:rsid w:val="1ACF1846"/>
    <w:rsid w:val="1ADA582A"/>
    <w:rsid w:val="1ADD6EB4"/>
    <w:rsid w:val="1AE6582B"/>
    <w:rsid w:val="1B0045EC"/>
    <w:rsid w:val="1B7C6E54"/>
    <w:rsid w:val="1B7F1E29"/>
    <w:rsid w:val="1B8542B0"/>
    <w:rsid w:val="1B9B2757"/>
    <w:rsid w:val="1BA80A5F"/>
    <w:rsid w:val="1BFB128C"/>
    <w:rsid w:val="1BFD51C0"/>
    <w:rsid w:val="1C0624EC"/>
    <w:rsid w:val="1C0638F9"/>
    <w:rsid w:val="1C2B2D8D"/>
    <w:rsid w:val="1C52288E"/>
    <w:rsid w:val="1C5E5533"/>
    <w:rsid w:val="1C9332AB"/>
    <w:rsid w:val="1CD06430"/>
    <w:rsid w:val="1CE5765F"/>
    <w:rsid w:val="1CF30371"/>
    <w:rsid w:val="1D0B3A1A"/>
    <w:rsid w:val="1D9751A0"/>
    <w:rsid w:val="1DA81474"/>
    <w:rsid w:val="1DF54272"/>
    <w:rsid w:val="1DF61EC7"/>
    <w:rsid w:val="1E0F4D36"/>
    <w:rsid w:val="1E3B7D0B"/>
    <w:rsid w:val="1E6F1C79"/>
    <w:rsid w:val="1E786D7F"/>
    <w:rsid w:val="1E82375A"/>
    <w:rsid w:val="1E9F2F51"/>
    <w:rsid w:val="1F574BE7"/>
    <w:rsid w:val="1FA92F69"/>
    <w:rsid w:val="1FAF13E1"/>
    <w:rsid w:val="1FDE70B6"/>
    <w:rsid w:val="2028204A"/>
    <w:rsid w:val="20484530"/>
    <w:rsid w:val="20A025BE"/>
    <w:rsid w:val="20B01D49"/>
    <w:rsid w:val="20EB786C"/>
    <w:rsid w:val="210649A9"/>
    <w:rsid w:val="21186BD7"/>
    <w:rsid w:val="21322936"/>
    <w:rsid w:val="213351E0"/>
    <w:rsid w:val="214B593D"/>
    <w:rsid w:val="217557F8"/>
    <w:rsid w:val="217B66B5"/>
    <w:rsid w:val="21822513"/>
    <w:rsid w:val="218870DE"/>
    <w:rsid w:val="218C271F"/>
    <w:rsid w:val="21907C7F"/>
    <w:rsid w:val="21B955C6"/>
    <w:rsid w:val="21C4457A"/>
    <w:rsid w:val="21CC2308"/>
    <w:rsid w:val="21F26E49"/>
    <w:rsid w:val="21FD7D2B"/>
    <w:rsid w:val="22066450"/>
    <w:rsid w:val="22145CE6"/>
    <w:rsid w:val="221C3EC6"/>
    <w:rsid w:val="222B5EB7"/>
    <w:rsid w:val="223245CE"/>
    <w:rsid w:val="22334551"/>
    <w:rsid w:val="22792CA9"/>
    <w:rsid w:val="229B128E"/>
    <w:rsid w:val="23123443"/>
    <w:rsid w:val="23463A45"/>
    <w:rsid w:val="2366364A"/>
    <w:rsid w:val="238B1303"/>
    <w:rsid w:val="238C3982"/>
    <w:rsid w:val="239A18C3"/>
    <w:rsid w:val="23A5630C"/>
    <w:rsid w:val="23AA303F"/>
    <w:rsid w:val="23C304DE"/>
    <w:rsid w:val="23E32EED"/>
    <w:rsid w:val="23E34C9B"/>
    <w:rsid w:val="23E46C65"/>
    <w:rsid w:val="24030E99"/>
    <w:rsid w:val="2466767A"/>
    <w:rsid w:val="247E794C"/>
    <w:rsid w:val="2490058B"/>
    <w:rsid w:val="24F15196"/>
    <w:rsid w:val="253B4469"/>
    <w:rsid w:val="255D3476"/>
    <w:rsid w:val="259E7CC7"/>
    <w:rsid w:val="25A350C0"/>
    <w:rsid w:val="25AE74E7"/>
    <w:rsid w:val="25BA48B9"/>
    <w:rsid w:val="25E83AD3"/>
    <w:rsid w:val="25FA451E"/>
    <w:rsid w:val="2629204A"/>
    <w:rsid w:val="265F06E5"/>
    <w:rsid w:val="26804A23"/>
    <w:rsid w:val="26A75A07"/>
    <w:rsid w:val="26AB0477"/>
    <w:rsid w:val="26D0702D"/>
    <w:rsid w:val="27084ACD"/>
    <w:rsid w:val="270C275B"/>
    <w:rsid w:val="272E26D1"/>
    <w:rsid w:val="27623729"/>
    <w:rsid w:val="276D2BBC"/>
    <w:rsid w:val="27736336"/>
    <w:rsid w:val="277427C9"/>
    <w:rsid w:val="279F537D"/>
    <w:rsid w:val="27FD37F2"/>
    <w:rsid w:val="284E28FF"/>
    <w:rsid w:val="28732366"/>
    <w:rsid w:val="288C27F1"/>
    <w:rsid w:val="289522DC"/>
    <w:rsid w:val="28AA222B"/>
    <w:rsid w:val="28AF2FAB"/>
    <w:rsid w:val="28B46C06"/>
    <w:rsid w:val="28BC5ABB"/>
    <w:rsid w:val="28D9041B"/>
    <w:rsid w:val="291256ED"/>
    <w:rsid w:val="2916166F"/>
    <w:rsid w:val="29194864"/>
    <w:rsid w:val="291E22D1"/>
    <w:rsid w:val="29240678"/>
    <w:rsid w:val="29385A89"/>
    <w:rsid w:val="293B2E83"/>
    <w:rsid w:val="29BB2216"/>
    <w:rsid w:val="2A3C5105"/>
    <w:rsid w:val="2A3E2031"/>
    <w:rsid w:val="2A481CFC"/>
    <w:rsid w:val="2A6F5FF4"/>
    <w:rsid w:val="2AB729DE"/>
    <w:rsid w:val="2ABA43D6"/>
    <w:rsid w:val="2B62123C"/>
    <w:rsid w:val="2BC25ADE"/>
    <w:rsid w:val="2BE37B42"/>
    <w:rsid w:val="2C527DA2"/>
    <w:rsid w:val="2C55280F"/>
    <w:rsid w:val="2C7B0AC6"/>
    <w:rsid w:val="2CD47877"/>
    <w:rsid w:val="2CD97094"/>
    <w:rsid w:val="2CF808D7"/>
    <w:rsid w:val="2D0637A8"/>
    <w:rsid w:val="2D1F4398"/>
    <w:rsid w:val="2D214E0A"/>
    <w:rsid w:val="2D641004"/>
    <w:rsid w:val="2DC77469"/>
    <w:rsid w:val="2E050E50"/>
    <w:rsid w:val="2E0A7A83"/>
    <w:rsid w:val="2E0F48DF"/>
    <w:rsid w:val="2E1B5AFD"/>
    <w:rsid w:val="2E2B0570"/>
    <w:rsid w:val="2E365D60"/>
    <w:rsid w:val="2E4B3B20"/>
    <w:rsid w:val="2E8B0630"/>
    <w:rsid w:val="2EB15996"/>
    <w:rsid w:val="2EB77450"/>
    <w:rsid w:val="2EED07E4"/>
    <w:rsid w:val="2EFC320A"/>
    <w:rsid w:val="2F1E74CF"/>
    <w:rsid w:val="2F4D4A13"/>
    <w:rsid w:val="2F522CD5"/>
    <w:rsid w:val="2F5C53EF"/>
    <w:rsid w:val="2F6A001E"/>
    <w:rsid w:val="2F6A212A"/>
    <w:rsid w:val="2F7838CE"/>
    <w:rsid w:val="2F787981"/>
    <w:rsid w:val="2F8A246F"/>
    <w:rsid w:val="2FDF6F01"/>
    <w:rsid w:val="301B356B"/>
    <w:rsid w:val="305B7624"/>
    <w:rsid w:val="307A24E3"/>
    <w:rsid w:val="30C60D99"/>
    <w:rsid w:val="30F67E62"/>
    <w:rsid w:val="3124258B"/>
    <w:rsid w:val="315E5E5E"/>
    <w:rsid w:val="316544CE"/>
    <w:rsid w:val="31921AAF"/>
    <w:rsid w:val="319538BD"/>
    <w:rsid w:val="31B74327"/>
    <w:rsid w:val="31CB6D6E"/>
    <w:rsid w:val="31D75713"/>
    <w:rsid w:val="31DD6E55"/>
    <w:rsid w:val="31E02F61"/>
    <w:rsid w:val="322070BA"/>
    <w:rsid w:val="325E0EDF"/>
    <w:rsid w:val="32665F8F"/>
    <w:rsid w:val="32807B59"/>
    <w:rsid w:val="329E2196"/>
    <w:rsid w:val="32A41169"/>
    <w:rsid w:val="32CE4D68"/>
    <w:rsid w:val="32E75E2A"/>
    <w:rsid w:val="32EE2611"/>
    <w:rsid w:val="330010CF"/>
    <w:rsid w:val="33260700"/>
    <w:rsid w:val="33877B47"/>
    <w:rsid w:val="3391539D"/>
    <w:rsid w:val="33DA14EB"/>
    <w:rsid w:val="33F11B52"/>
    <w:rsid w:val="33F627C9"/>
    <w:rsid w:val="34042C13"/>
    <w:rsid w:val="34086F43"/>
    <w:rsid w:val="343706EB"/>
    <w:rsid w:val="3454129D"/>
    <w:rsid w:val="346516FC"/>
    <w:rsid w:val="34A10B1E"/>
    <w:rsid w:val="34E20222"/>
    <w:rsid w:val="35172B3D"/>
    <w:rsid w:val="352D47C6"/>
    <w:rsid w:val="353F5AA9"/>
    <w:rsid w:val="35415CC5"/>
    <w:rsid w:val="354C5EBA"/>
    <w:rsid w:val="355A6D87"/>
    <w:rsid w:val="356B2BAF"/>
    <w:rsid w:val="358461EC"/>
    <w:rsid w:val="35A12BB5"/>
    <w:rsid w:val="35F5260C"/>
    <w:rsid w:val="362D2CF8"/>
    <w:rsid w:val="36624145"/>
    <w:rsid w:val="36826596"/>
    <w:rsid w:val="36986691"/>
    <w:rsid w:val="37052D23"/>
    <w:rsid w:val="371F7B4F"/>
    <w:rsid w:val="372B09DB"/>
    <w:rsid w:val="373D070E"/>
    <w:rsid w:val="374E0226"/>
    <w:rsid w:val="37695060"/>
    <w:rsid w:val="37B22EAA"/>
    <w:rsid w:val="37D050DF"/>
    <w:rsid w:val="37F611F9"/>
    <w:rsid w:val="38044D88"/>
    <w:rsid w:val="380D2A1D"/>
    <w:rsid w:val="38126F39"/>
    <w:rsid w:val="38193731"/>
    <w:rsid w:val="384D2302"/>
    <w:rsid w:val="388C7CC2"/>
    <w:rsid w:val="389A29C0"/>
    <w:rsid w:val="389B7F42"/>
    <w:rsid w:val="38AC5B4C"/>
    <w:rsid w:val="390A6C82"/>
    <w:rsid w:val="39551D3F"/>
    <w:rsid w:val="396046AE"/>
    <w:rsid w:val="397C551E"/>
    <w:rsid w:val="397D72BA"/>
    <w:rsid w:val="397E394E"/>
    <w:rsid w:val="397F34E4"/>
    <w:rsid w:val="39822409"/>
    <w:rsid w:val="39840358"/>
    <w:rsid w:val="399D36E6"/>
    <w:rsid w:val="39AE31FE"/>
    <w:rsid w:val="39BB0852"/>
    <w:rsid w:val="39BE5B37"/>
    <w:rsid w:val="39D50F56"/>
    <w:rsid w:val="3A1860F7"/>
    <w:rsid w:val="3A2118CE"/>
    <w:rsid w:val="3A764A41"/>
    <w:rsid w:val="3A76687E"/>
    <w:rsid w:val="3A8C5AB6"/>
    <w:rsid w:val="3ABD0E47"/>
    <w:rsid w:val="3B3B2F39"/>
    <w:rsid w:val="3B451F1C"/>
    <w:rsid w:val="3B504504"/>
    <w:rsid w:val="3BF51E91"/>
    <w:rsid w:val="3C221C81"/>
    <w:rsid w:val="3C2457D3"/>
    <w:rsid w:val="3C2B60DD"/>
    <w:rsid w:val="3C3C14AF"/>
    <w:rsid w:val="3C3E5E5D"/>
    <w:rsid w:val="3C7324DC"/>
    <w:rsid w:val="3C750658"/>
    <w:rsid w:val="3CB21257"/>
    <w:rsid w:val="3D800070"/>
    <w:rsid w:val="3D9B1CEB"/>
    <w:rsid w:val="3DD07BE6"/>
    <w:rsid w:val="3DDE4B72"/>
    <w:rsid w:val="3E2A7B5D"/>
    <w:rsid w:val="3EA461BA"/>
    <w:rsid w:val="3ED03B1B"/>
    <w:rsid w:val="3ED634AA"/>
    <w:rsid w:val="3EF73899"/>
    <w:rsid w:val="3F11331D"/>
    <w:rsid w:val="3F2D1069"/>
    <w:rsid w:val="3F5727DF"/>
    <w:rsid w:val="3F737BB4"/>
    <w:rsid w:val="3F942E96"/>
    <w:rsid w:val="3FAD415A"/>
    <w:rsid w:val="3FC419CD"/>
    <w:rsid w:val="3FF733DF"/>
    <w:rsid w:val="40356427"/>
    <w:rsid w:val="405A7C3B"/>
    <w:rsid w:val="40681BE5"/>
    <w:rsid w:val="40756CCD"/>
    <w:rsid w:val="40C41559"/>
    <w:rsid w:val="40C770F8"/>
    <w:rsid w:val="41211A3B"/>
    <w:rsid w:val="41402876"/>
    <w:rsid w:val="41666FD7"/>
    <w:rsid w:val="416A1EB3"/>
    <w:rsid w:val="41732F6F"/>
    <w:rsid w:val="41831414"/>
    <w:rsid w:val="41C2536A"/>
    <w:rsid w:val="41C25796"/>
    <w:rsid w:val="41DA54D8"/>
    <w:rsid w:val="41E40EAE"/>
    <w:rsid w:val="41FF610C"/>
    <w:rsid w:val="420605C9"/>
    <w:rsid w:val="4208548D"/>
    <w:rsid w:val="421B33FA"/>
    <w:rsid w:val="42295B17"/>
    <w:rsid w:val="422A0490"/>
    <w:rsid w:val="4290203A"/>
    <w:rsid w:val="42A04F26"/>
    <w:rsid w:val="42B0448A"/>
    <w:rsid w:val="42B24D54"/>
    <w:rsid w:val="42BF223A"/>
    <w:rsid w:val="42C0336E"/>
    <w:rsid w:val="432509D4"/>
    <w:rsid w:val="432804C5"/>
    <w:rsid w:val="434B7D0F"/>
    <w:rsid w:val="435F0DAE"/>
    <w:rsid w:val="43F47090"/>
    <w:rsid w:val="446176FC"/>
    <w:rsid w:val="447913F5"/>
    <w:rsid w:val="44E542C6"/>
    <w:rsid w:val="44FA7C3F"/>
    <w:rsid w:val="451C429A"/>
    <w:rsid w:val="45230F44"/>
    <w:rsid w:val="452847AC"/>
    <w:rsid w:val="454B1172"/>
    <w:rsid w:val="454D7D6F"/>
    <w:rsid w:val="457739FE"/>
    <w:rsid w:val="457812C1"/>
    <w:rsid w:val="457C19B7"/>
    <w:rsid w:val="45AE5643"/>
    <w:rsid w:val="45BE6EBE"/>
    <w:rsid w:val="463E2781"/>
    <w:rsid w:val="46415C04"/>
    <w:rsid w:val="46587F31"/>
    <w:rsid w:val="46592743"/>
    <w:rsid w:val="466A29DD"/>
    <w:rsid w:val="466D1629"/>
    <w:rsid w:val="467137EB"/>
    <w:rsid w:val="467D4684"/>
    <w:rsid w:val="46A41C10"/>
    <w:rsid w:val="46BF6A4A"/>
    <w:rsid w:val="46DF533E"/>
    <w:rsid w:val="46E0403D"/>
    <w:rsid w:val="46EF40C7"/>
    <w:rsid w:val="471F4EBE"/>
    <w:rsid w:val="472B3869"/>
    <w:rsid w:val="47416EC4"/>
    <w:rsid w:val="47456C05"/>
    <w:rsid w:val="47590C4D"/>
    <w:rsid w:val="476676E6"/>
    <w:rsid w:val="476A7CFB"/>
    <w:rsid w:val="477E3022"/>
    <w:rsid w:val="47CA56A6"/>
    <w:rsid w:val="47DC187E"/>
    <w:rsid w:val="47ED3A8B"/>
    <w:rsid w:val="48001413"/>
    <w:rsid w:val="483005FB"/>
    <w:rsid w:val="4835068F"/>
    <w:rsid w:val="485D651B"/>
    <w:rsid w:val="486A0320"/>
    <w:rsid w:val="48735B88"/>
    <w:rsid w:val="48D45C0D"/>
    <w:rsid w:val="48DC39F9"/>
    <w:rsid w:val="49003E49"/>
    <w:rsid w:val="49380D36"/>
    <w:rsid w:val="494C765E"/>
    <w:rsid w:val="495D254A"/>
    <w:rsid w:val="49777AB0"/>
    <w:rsid w:val="497A1DA4"/>
    <w:rsid w:val="49841945"/>
    <w:rsid w:val="499222AC"/>
    <w:rsid w:val="49C11094"/>
    <w:rsid w:val="49E02E86"/>
    <w:rsid w:val="49F3676E"/>
    <w:rsid w:val="49F80192"/>
    <w:rsid w:val="4A0B7E9C"/>
    <w:rsid w:val="4A395C0F"/>
    <w:rsid w:val="4A3E6365"/>
    <w:rsid w:val="4A8B1C89"/>
    <w:rsid w:val="4A9D3546"/>
    <w:rsid w:val="4B0B5D40"/>
    <w:rsid w:val="4B141F33"/>
    <w:rsid w:val="4B5375A2"/>
    <w:rsid w:val="4B675B9A"/>
    <w:rsid w:val="4B8861C2"/>
    <w:rsid w:val="4B904E59"/>
    <w:rsid w:val="4BA34B8C"/>
    <w:rsid w:val="4C480C0B"/>
    <w:rsid w:val="4CA7245A"/>
    <w:rsid w:val="4CBF221B"/>
    <w:rsid w:val="4CE27EB0"/>
    <w:rsid w:val="4CEE62DB"/>
    <w:rsid w:val="4CEF5BAF"/>
    <w:rsid w:val="4CF11A57"/>
    <w:rsid w:val="4D0B3D7D"/>
    <w:rsid w:val="4D182BFB"/>
    <w:rsid w:val="4D331F40"/>
    <w:rsid w:val="4D48113A"/>
    <w:rsid w:val="4D4B7289"/>
    <w:rsid w:val="4D785BA5"/>
    <w:rsid w:val="4DB34E2F"/>
    <w:rsid w:val="4DC31516"/>
    <w:rsid w:val="4DED41FF"/>
    <w:rsid w:val="4DED4BFE"/>
    <w:rsid w:val="4E104C98"/>
    <w:rsid w:val="4E402B66"/>
    <w:rsid w:val="4E442E99"/>
    <w:rsid w:val="4E503D28"/>
    <w:rsid w:val="4E661EA1"/>
    <w:rsid w:val="4EA82FA1"/>
    <w:rsid w:val="4EB520AC"/>
    <w:rsid w:val="4EB8777E"/>
    <w:rsid w:val="4EBB291A"/>
    <w:rsid w:val="4EC97EC5"/>
    <w:rsid w:val="4F6A019E"/>
    <w:rsid w:val="4F7072D9"/>
    <w:rsid w:val="4F814C72"/>
    <w:rsid w:val="4F92218D"/>
    <w:rsid w:val="4FA816F1"/>
    <w:rsid w:val="4FAF6909"/>
    <w:rsid w:val="501F0B5C"/>
    <w:rsid w:val="502B287F"/>
    <w:rsid w:val="502E11AA"/>
    <w:rsid w:val="503F2650"/>
    <w:rsid w:val="504D3F74"/>
    <w:rsid w:val="505F0812"/>
    <w:rsid w:val="50792360"/>
    <w:rsid w:val="50841FF3"/>
    <w:rsid w:val="50B13185"/>
    <w:rsid w:val="50B341F7"/>
    <w:rsid w:val="50C962D5"/>
    <w:rsid w:val="51287071"/>
    <w:rsid w:val="51306129"/>
    <w:rsid w:val="513B7615"/>
    <w:rsid w:val="515E0406"/>
    <w:rsid w:val="517C71A2"/>
    <w:rsid w:val="51A605D7"/>
    <w:rsid w:val="51BF3DA2"/>
    <w:rsid w:val="51C94FD2"/>
    <w:rsid w:val="51CE0489"/>
    <w:rsid w:val="51FA302C"/>
    <w:rsid w:val="52017F75"/>
    <w:rsid w:val="522462FB"/>
    <w:rsid w:val="525E7A5F"/>
    <w:rsid w:val="52AA5AEF"/>
    <w:rsid w:val="52AB07CA"/>
    <w:rsid w:val="52BB569C"/>
    <w:rsid w:val="52BE405A"/>
    <w:rsid w:val="52F56770"/>
    <w:rsid w:val="535B5104"/>
    <w:rsid w:val="535D1AC5"/>
    <w:rsid w:val="537B46BB"/>
    <w:rsid w:val="53844015"/>
    <w:rsid w:val="53860F02"/>
    <w:rsid w:val="53D578AD"/>
    <w:rsid w:val="53DA5C9A"/>
    <w:rsid w:val="53DB0C3B"/>
    <w:rsid w:val="53E73A84"/>
    <w:rsid w:val="542E16B3"/>
    <w:rsid w:val="54886D3A"/>
    <w:rsid w:val="548D1A29"/>
    <w:rsid w:val="54CD2BD1"/>
    <w:rsid w:val="54E029AD"/>
    <w:rsid w:val="54F2623D"/>
    <w:rsid w:val="55115E16"/>
    <w:rsid w:val="55140612"/>
    <w:rsid w:val="5520724E"/>
    <w:rsid w:val="5536081F"/>
    <w:rsid w:val="553E6869"/>
    <w:rsid w:val="55480552"/>
    <w:rsid w:val="55592224"/>
    <w:rsid w:val="55735C18"/>
    <w:rsid w:val="55912A17"/>
    <w:rsid w:val="55986DE4"/>
    <w:rsid w:val="55A82D9F"/>
    <w:rsid w:val="55C57FCE"/>
    <w:rsid w:val="55CA488D"/>
    <w:rsid w:val="55E203EF"/>
    <w:rsid w:val="560E5C4E"/>
    <w:rsid w:val="56142AF3"/>
    <w:rsid w:val="561F5B0D"/>
    <w:rsid w:val="564A4959"/>
    <w:rsid w:val="56704868"/>
    <w:rsid w:val="56822899"/>
    <w:rsid w:val="56881EF5"/>
    <w:rsid w:val="56974EAF"/>
    <w:rsid w:val="569864A3"/>
    <w:rsid w:val="569972B8"/>
    <w:rsid w:val="56E2109B"/>
    <w:rsid w:val="56EA18C1"/>
    <w:rsid w:val="56F20587"/>
    <w:rsid w:val="57060A6B"/>
    <w:rsid w:val="571B2939"/>
    <w:rsid w:val="57400EF8"/>
    <w:rsid w:val="574014E1"/>
    <w:rsid w:val="57555BD4"/>
    <w:rsid w:val="575C7F8B"/>
    <w:rsid w:val="579F60B4"/>
    <w:rsid w:val="57B93BA4"/>
    <w:rsid w:val="57BD2FDD"/>
    <w:rsid w:val="57BE75EA"/>
    <w:rsid w:val="57F329F7"/>
    <w:rsid w:val="583D0444"/>
    <w:rsid w:val="58495567"/>
    <w:rsid w:val="58A255C2"/>
    <w:rsid w:val="58C85F6F"/>
    <w:rsid w:val="58CF10C2"/>
    <w:rsid w:val="58D2260D"/>
    <w:rsid w:val="58D42829"/>
    <w:rsid w:val="58EB7B73"/>
    <w:rsid w:val="59047E6B"/>
    <w:rsid w:val="5926260A"/>
    <w:rsid w:val="59265925"/>
    <w:rsid w:val="597D4C6F"/>
    <w:rsid w:val="59835FFD"/>
    <w:rsid w:val="59BF0344"/>
    <w:rsid w:val="59D42CD5"/>
    <w:rsid w:val="5A364E1D"/>
    <w:rsid w:val="5A554E5B"/>
    <w:rsid w:val="5A647BDD"/>
    <w:rsid w:val="5A7A7400"/>
    <w:rsid w:val="5A8106B7"/>
    <w:rsid w:val="5AF1749C"/>
    <w:rsid w:val="5AFE65E2"/>
    <w:rsid w:val="5B572362"/>
    <w:rsid w:val="5B573343"/>
    <w:rsid w:val="5B587AD8"/>
    <w:rsid w:val="5B5C4D58"/>
    <w:rsid w:val="5BAC5112"/>
    <w:rsid w:val="5BB30012"/>
    <w:rsid w:val="5BD91F04"/>
    <w:rsid w:val="5BF4415A"/>
    <w:rsid w:val="5C1B251D"/>
    <w:rsid w:val="5C5477DD"/>
    <w:rsid w:val="5C9103F7"/>
    <w:rsid w:val="5CCE0307"/>
    <w:rsid w:val="5D244E40"/>
    <w:rsid w:val="5D337919"/>
    <w:rsid w:val="5D367E50"/>
    <w:rsid w:val="5D436103"/>
    <w:rsid w:val="5D5A0E23"/>
    <w:rsid w:val="5D616655"/>
    <w:rsid w:val="5D8472F1"/>
    <w:rsid w:val="5DC74ABD"/>
    <w:rsid w:val="5DDA5106"/>
    <w:rsid w:val="5E7D056A"/>
    <w:rsid w:val="5E9D3904"/>
    <w:rsid w:val="5EAC2A51"/>
    <w:rsid w:val="5F101765"/>
    <w:rsid w:val="5F4E44DD"/>
    <w:rsid w:val="5F7813F4"/>
    <w:rsid w:val="5FA8077D"/>
    <w:rsid w:val="5FDC0215"/>
    <w:rsid w:val="5FFA4888"/>
    <w:rsid w:val="603C44A8"/>
    <w:rsid w:val="604218F3"/>
    <w:rsid w:val="605A7EC0"/>
    <w:rsid w:val="605E0C2A"/>
    <w:rsid w:val="60600E46"/>
    <w:rsid w:val="60883A9E"/>
    <w:rsid w:val="60BF3DBF"/>
    <w:rsid w:val="60BF649C"/>
    <w:rsid w:val="60CD6C10"/>
    <w:rsid w:val="60D333C6"/>
    <w:rsid w:val="612E63F1"/>
    <w:rsid w:val="616B1F54"/>
    <w:rsid w:val="617C1CB0"/>
    <w:rsid w:val="61856F4B"/>
    <w:rsid w:val="61FF01EB"/>
    <w:rsid w:val="62053A53"/>
    <w:rsid w:val="62595B4D"/>
    <w:rsid w:val="627E512D"/>
    <w:rsid w:val="628C0609"/>
    <w:rsid w:val="62911D9F"/>
    <w:rsid w:val="62E80C7F"/>
    <w:rsid w:val="62F95938"/>
    <w:rsid w:val="630C5290"/>
    <w:rsid w:val="634F64A5"/>
    <w:rsid w:val="63822E81"/>
    <w:rsid w:val="638D5FC7"/>
    <w:rsid w:val="63917D71"/>
    <w:rsid w:val="63A54CCA"/>
    <w:rsid w:val="63B514A9"/>
    <w:rsid w:val="64124205"/>
    <w:rsid w:val="64343F73"/>
    <w:rsid w:val="6481181A"/>
    <w:rsid w:val="64930265"/>
    <w:rsid w:val="64A31301"/>
    <w:rsid w:val="64B27796"/>
    <w:rsid w:val="64D24C41"/>
    <w:rsid w:val="64F8164D"/>
    <w:rsid w:val="65090C0B"/>
    <w:rsid w:val="651778FC"/>
    <w:rsid w:val="65417F5D"/>
    <w:rsid w:val="654F201A"/>
    <w:rsid w:val="659536EC"/>
    <w:rsid w:val="6601121B"/>
    <w:rsid w:val="660B1854"/>
    <w:rsid w:val="661E0247"/>
    <w:rsid w:val="665705F5"/>
    <w:rsid w:val="66974E96"/>
    <w:rsid w:val="669C20A7"/>
    <w:rsid w:val="66B07D06"/>
    <w:rsid w:val="66BB6DD6"/>
    <w:rsid w:val="66C043ED"/>
    <w:rsid w:val="66CE6E60"/>
    <w:rsid w:val="66D81D68"/>
    <w:rsid w:val="66E71979"/>
    <w:rsid w:val="66EF68AF"/>
    <w:rsid w:val="671309C0"/>
    <w:rsid w:val="672F4716"/>
    <w:rsid w:val="67401089"/>
    <w:rsid w:val="6782012D"/>
    <w:rsid w:val="678830D6"/>
    <w:rsid w:val="679109A7"/>
    <w:rsid w:val="67BA6217"/>
    <w:rsid w:val="67BB4BB4"/>
    <w:rsid w:val="67CB6CA5"/>
    <w:rsid w:val="67D6544C"/>
    <w:rsid w:val="67FF2CF3"/>
    <w:rsid w:val="68016A6B"/>
    <w:rsid w:val="68227A56"/>
    <w:rsid w:val="68420E31"/>
    <w:rsid w:val="686F1577"/>
    <w:rsid w:val="687436E1"/>
    <w:rsid w:val="68781542"/>
    <w:rsid w:val="688E4CAF"/>
    <w:rsid w:val="68D70FAB"/>
    <w:rsid w:val="68D83894"/>
    <w:rsid w:val="68DE61D1"/>
    <w:rsid w:val="69004F74"/>
    <w:rsid w:val="6944683F"/>
    <w:rsid w:val="69470D3F"/>
    <w:rsid w:val="69705E9C"/>
    <w:rsid w:val="69712535"/>
    <w:rsid w:val="697C69F5"/>
    <w:rsid w:val="69A71894"/>
    <w:rsid w:val="69D12150"/>
    <w:rsid w:val="69D74EB4"/>
    <w:rsid w:val="69E76134"/>
    <w:rsid w:val="6A10568B"/>
    <w:rsid w:val="6A1371AB"/>
    <w:rsid w:val="6A274783"/>
    <w:rsid w:val="6A4E3ABD"/>
    <w:rsid w:val="6A5C61DA"/>
    <w:rsid w:val="6A617ADD"/>
    <w:rsid w:val="6A8A6BF2"/>
    <w:rsid w:val="6A90057A"/>
    <w:rsid w:val="6A9516EC"/>
    <w:rsid w:val="6AC62B4F"/>
    <w:rsid w:val="6AE306AA"/>
    <w:rsid w:val="6B1E5B86"/>
    <w:rsid w:val="6B23319C"/>
    <w:rsid w:val="6B513865"/>
    <w:rsid w:val="6B712159"/>
    <w:rsid w:val="6BB93CE6"/>
    <w:rsid w:val="6BBB33D4"/>
    <w:rsid w:val="6BBF1207"/>
    <w:rsid w:val="6BD3071E"/>
    <w:rsid w:val="6BF54B38"/>
    <w:rsid w:val="6C097015"/>
    <w:rsid w:val="6C0E5BFA"/>
    <w:rsid w:val="6C4A4842"/>
    <w:rsid w:val="6C4B6506"/>
    <w:rsid w:val="6C6367AC"/>
    <w:rsid w:val="6CA16A6E"/>
    <w:rsid w:val="6CAF1083"/>
    <w:rsid w:val="6CF546C4"/>
    <w:rsid w:val="6D0D5EB2"/>
    <w:rsid w:val="6D21195D"/>
    <w:rsid w:val="6D544916"/>
    <w:rsid w:val="6D68730F"/>
    <w:rsid w:val="6D786DF5"/>
    <w:rsid w:val="6D836174"/>
    <w:rsid w:val="6DB05DD5"/>
    <w:rsid w:val="6DB602F7"/>
    <w:rsid w:val="6DCF3167"/>
    <w:rsid w:val="6DD571EC"/>
    <w:rsid w:val="6DE035C6"/>
    <w:rsid w:val="6DFB7F07"/>
    <w:rsid w:val="6E091601"/>
    <w:rsid w:val="6E0B0643"/>
    <w:rsid w:val="6E2B7A50"/>
    <w:rsid w:val="6E360C61"/>
    <w:rsid w:val="6E744EC2"/>
    <w:rsid w:val="6E854EF6"/>
    <w:rsid w:val="6EC10D02"/>
    <w:rsid w:val="6ED84BE7"/>
    <w:rsid w:val="6EE86C46"/>
    <w:rsid w:val="6F0117D3"/>
    <w:rsid w:val="6F1A066E"/>
    <w:rsid w:val="6F486B7B"/>
    <w:rsid w:val="6F667AFB"/>
    <w:rsid w:val="6F931592"/>
    <w:rsid w:val="6FB81477"/>
    <w:rsid w:val="6FC11D2E"/>
    <w:rsid w:val="6FD827A7"/>
    <w:rsid w:val="6FE3750E"/>
    <w:rsid w:val="70455963"/>
    <w:rsid w:val="70653024"/>
    <w:rsid w:val="70706DAA"/>
    <w:rsid w:val="70A42689"/>
    <w:rsid w:val="70CA3E6A"/>
    <w:rsid w:val="70CE5958"/>
    <w:rsid w:val="711B066F"/>
    <w:rsid w:val="71250D87"/>
    <w:rsid w:val="71421880"/>
    <w:rsid w:val="71453E5B"/>
    <w:rsid w:val="71956013"/>
    <w:rsid w:val="719B4B83"/>
    <w:rsid w:val="71AC4C94"/>
    <w:rsid w:val="71BB2380"/>
    <w:rsid w:val="71D84CE0"/>
    <w:rsid w:val="7201041D"/>
    <w:rsid w:val="721E646B"/>
    <w:rsid w:val="7249798C"/>
    <w:rsid w:val="726B5B54"/>
    <w:rsid w:val="72824C4C"/>
    <w:rsid w:val="7289401B"/>
    <w:rsid w:val="728F2874"/>
    <w:rsid w:val="729606F7"/>
    <w:rsid w:val="72CB4619"/>
    <w:rsid w:val="7345797F"/>
    <w:rsid w:val="735E7467"/>
    <w:rsid w:val="739C6215"/>
    <w:rsid w:val="73BA76A3"/>
    <w:rsid w:val="73CD729D"/>
    <w:rsid w:val="73EA0F88"/>
    <w:rsid w:val="7431692A"/>
    <w:rsid w:val="746D2F8F"/>
    <w:rsid w:val="748E7926"/>
    <w:rsid w:val="7491561A"/>
    <w:rsid w:val="749C5773"/>
    <w:rsid w:val="74AA2238"/>
    <w:rsid w:val="74DB0B77"/>
    <w:rsid w:val="74E40210"/>
    <w:rsid w:val="74F02341"/>
    <w:rsid w:val="75151DA7"/>
    <w:rsid w:val="753541FF"/>
    <w:rsid w:val="7550244E"/>
    <w:rsid w:val="755328D0"/>
    <w:rsid w:val="75626C37"/>
    <w:rsid w:val="757D75F7"/>
    <w:rsid w:val="757F482D"/>
    <w:rsid w:val="758B2BE0"/>
    <w:rsid w:val="75962F50"/>
    <w:rsid w:val="759F78C3"/>
    <w:rsid w:val="75A2558A"/>
    <w:rsid w:val="76391ABB"/>
    <w:rsid w:val="76553877"/>
    <w:rsid w:val="76562678"/>
    <w:rsid w:val="76570288"/>
    <w:rsid w:val="768D606D"/>
    <w:rsid w:val="769211D6"/>
    <w:rsid w:val="76A74C81"/>
    <w:rsid w:val="76DB5D49"/>
    <w:rsid w:val="76EA39C4"/>
    <w:rsid w:val="77155CAD"/>
    <w:rsid w:val="772C0459"/>
    <w:rsid w:val="7731206D"/>
    <w:rsid w:val="7742600D"/>
    <w:rsid w:val="774D551F"/>
    <w:rsid w:val="77673693"/>
    <w:rsid w:val="77CA1A97"/>
    <w:rsid w:val="78003EBC"/>
    <w:rsid w:val="7801636E"/>
    <w:rsid w:val="7843661E"/>
    <w:rsid w:val="78467A8B"/>
    <w:rsid w:val="78972AD3"/>
    <w:rsid w:val="78C25DA2"/>
    <w:rsid w:val="78C7160B"/>
    <w:rsid w:val="79167E9C"/>
    <w:rsid w:val="79462DDE"/>
    <w:rsid w:val="795170FB"/>
    <w:rsid w:val="79762456"/>
    <w:rsid w:val="79842FA2"/>
    <w:rsid w:val="79DE0D71"/>
    <w:rsid w:val="79ED5363"/>
    <w:rsid w:val="7A016D9E"/>
    <w:rsid w:val="7A046663"/>
    <w:rsid w:val="7A0F3269"/>
    <w:rsid w:val="7A666C01"/>
    <w:rsid w:val="7A9C4DB8"/>
    <w:rsid w:val="7AAC26D7"/>
    <w:rsid w:val="7AC5601E"/>
    <w:rsid w:val="7ACF47A6"/>
    <w:rsid w:val="7AEF6BF7"/>
    <w:rsid w:val="7B765937"/>
    <w:rsid w:val="7BB97384"/>
    <w:rsid w:val="7C005CB4"/>
    <w:rsid w:val="7C0B180E"/>
    <w:rsid w:val="7C3074C7"/>
    <w:rsid w:val="7C376D58"/>
    <w:rsid w:val="7C3A0A24"/>
    <w:rsid w:val="7C5D1794"/>
    <w:rsid w:val="7C6B117C"/>
    <w:rsid w:val="7C976626"/>
    <w:rsid w:val="7CD12A58"/>
    <w:rsid w:val="7CEC1640"/>
    <w:rsid w:val="7CF76F3C"/>
    <w:rsid w:val="7D06229B"/>
    <w:rsid w:val="7D1E3B38"/>
    <w:rsid w:val="7D474AC8"/>
    <w:rsid w:val="7D637428"/>
    <w:rsid w:val="7D6A5E50"/>
    <w:rsid w:val="7D6E1675"/>
    <w:rsid w:val="7D97655C"/>
    <w:rsid w:val="7DA05D3C"/>
    <w:rsid w:val="7DBF7A06"/>
    <w:rsid w:val="7DDA3B8E"/>
    <w:rsid w:val="7DE14F1D"/>
    <w:rsid w:val="7E261A7C"/>
    <w:rsid w:val="7E350DC4"/>
    <w:rsid w:val="7E6A2B19"/>
    <w:rsid w:val="7E7449A3"/>
    <w:rsid w:val="7EBC116D"/>
    <w:rsid w:val="7EED5B43"/>
    <w:rsid w:val="7EF56EF8"/>
    <w:rsid w:val="7F061512"/>
    <w:rsid w:val="7F596D01"/>
    <w:rsid w:val="7F6D458E"/>
    <w:rsid w:val="7F9E68D1"/>
    <w:rsid w:val="7FA57997"/>
    <w:rsid w:val="7FC91B20"/>
    <w:rsid w:val="7FD91C23"/>
    <w:rsid w:val="7FE43876"/>
    <w:rsid w:val="7FEB2C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semiHidden="0" w:name="heading 6"/>
    <w:lsdException w:qFormat="1" w:uiPriority="0" w:name="heading 7"/>
    <w:lsdException w:qFormat="1" w:unhideWhenUsed="0" w:uiPriority="0" w:semiHidden="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nhideWhenUsed="0"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0" w:semiHidden="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宋体" w:hAnsi="宋体" w:eastAsia="宋体" w:cs="Times New Roman"/>
      <w:kern w:val="2"/>
      <w:sz w:val="21"/>
      <w:szCs w:val="24"/>
      <w:lang w:val="en-US" w:eastAsia="zh-CN" w:bidi="ar-SA"/>
    </w:rPr>
  </w:style>
  <w:style w:type="paragraph" w:styleId="3">
    <w:name w:val="heading 1"/>
    <w:basedOn w:val="1"/>
    <w:next w:val="1"/>
    <w:qFormat/>
    <w:uiPriority w:val="0"/>
    <w:pPr>
      <w:keepNext/>
      <w:keepLines/>
      <w:spacing w:line="360" w:lineRule="auto"/>
      <w:jc w:val="center"/>
      <w:outlineLvl w:val="0"/>
    </w:pPr>
    <w:rPr>
      <w:b/>
      <w:bCs/>
      <w:kern w:val="44"/>
      <w:sz w:val="44"/>
      <w:szCs w:val="44"/>
      <w:lang w:val="zh-CN"/>
    </w:rPr>
  </w:style>
  <w:style w:type="paragraph" w:styleId="4">
    <w:name w:val="heading 2"/>
    <w:basedOn w:val="1"/>
    <w:next w:val="1"/>
    <w:autoRedefine/>
    <w:semiHidden/>
    <w:unhideWhenUsed/>
    <w:qFormat/>
    <w:uiPriority w:val="0"/>
    <w:pPr>
      <w:keepNext/>
      <w:keepLines/>
      <w:numPr>
        <w:ilvl w:val="0"/>
        <w:numId w:val="1"/>
      </w:numPr>
      <w:spacing w:line="560" w:lineRule="exact"/>
      <w:outlineLvl w:val="1"/>
    </w:pPr>
    <w:rPr>
      <w:rFonts w:ascii="Arial" w:hAnsi="Arial" w:eastAsia="仿宋"/>
      <w:b/>
      <w:sz w:val="32"/>
    </w:rPr>
  </w:style>
  <w:style w:type="paragraph" w:styleId="5">
    <w:name w:val="heading 3"/>
    <w:basedOn w:val="1"/>
    <w:next w:val="1"/>
    <w:autoRedefine/>
    <w:semiHidden/>
    <w:unhideWhenUsed/>
    <w:qFormat/>
    <w:uiPriority w:val="0"/>
    <w:pPr>
      <w:keepNext/>
      <w:keepLines/>
      <w:spacing w:before="260" w:after="260" w:line="413" w:lineRule="auto"/>
      <w:outlineLvl w:val="2"/>
    </w:pPr>
    <w:rPr>
      <w:b/>
      <w:sz w:val="32"/>
    </w:rPr>
  </w:style>
  <w:style w:type="paragraph" w:styleId="6">
    <w:name w:val="heading 5"/>
    <w:basedOn w:val="1"/>
    <w:next w:val="1"/>
    <w:autoRedefine/>
    <w:semiHidden/>
    <w:unhideWhenUsed/>
    <w:qFormat/>
    <w:uiPriority w:val="0"/>
    <w:pPr>
      <w:keepNext/>
      <w:keepLines/>
      <w:spacing w:before="280" w:after="290" w:line="372" w:lineRule="auto"/>
      <w:outlineLvl w:val="4"/>
    </w:pPr>
    <w:rPr>
      <w:b/>
      <w:sz w:val="28"/>
    </w:rPr>
  </w:style>
  <w:style w:type="paragraph" w:styleId="7">
    <w:name w:val="heading 6"/>
    <w:basedOn w:val="1"/>
    <w:next w:val="1"/>
    <w:autoRedefine/>
    <w:unhideWhenUsed/>
    <w:qFormat/>
    <w:uiPriority w:val="0"/>
    <w:pPr>
      <w:numPr>
        <w:ilvl w:val="0"/>
        <w:numId w:val="2"/>
      </w:numPr>
      <w:spacing w:line="360" w:lineRule="auto"/>
      <w:ind w:left="0" w:firstLine="200" w:firstLineChars="200"/>
      <w:outlineLvl w:val="5"/>
    </w:pPr>
    <w:rPr>
      <w:kern w:val="0"/>
    </w:rPr>
  </w:style>
  <w:style w:type="paragraph" w:styleId="8">
    <w:name w:val="heading 8"/>
    <w:basedOn w:val="7"/>
    <w:next w:val="9"/>
    <w:autoRedefine/>
    <w:qFormat/>
    <w:uiPriority w:val="0"/>
    <w:pPr>
      <w:keepNext/>
      <w:keepLines/>
      <w:numPr>
        <w:numId w:val="0"/>
      </w:numPr>
      <w:spacing w:before="50" w:beforeLines="50" w:after="50" w:afterLines="50" w:line="240" w:lineRule="auto"/>
      <w:jc w:val="left"/>
      <w:outlineLvl w:val="7"/>
    </w:pPr>
    <w:rPr>
      <w:b/>
      <w:szCs w:val="20"/>
    </w:rPr>
  </w:style>
  <w:style w:type="character" w:default="1" w:styleId="29">
    <w:name w:val="Default Paragraph Font"/>
    <w:autoRedefine/>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autoRedefine/>
    <w:unhideWhenUsed/>
    <w:qFormat/>
    <w:uiPriority w:val="0"/>
    <w:pPr>
      <w:spacing w:after="120"/>
    </w:pPr>
  </w:style>
  <w:style w:type="paragraph" w:styleId="9">
    <w:name w:val="Normal Indent"/>
    <w:basedOn w:val="1"/>
    <w:autoRedefine/>
    <w:unhideWhenUsed/>
    <w:qFormat/>
    <w:uiPriority w:val="0"/>
    <w:pPr>
      <w:ind w:firstLine="420" w:firstLineChars="200"/>
    </w:pPr>
  </w:style>
  <w:style w:type="paragraph" w:styleId="10">
    <w:name w:val="index 8"/>
    <w:basedOn w:val="1"/>
    <w:next w:val="1"/>
    <w:autoRedefine/>
    <w:semiHidden/>
    <w:qFormat/>
    <w:uiPriority w:val="0"/>
    <w:pPr>
      <w:ind w:left="1680" w:hanging="210"/>
      <w:jc w:val="left"/>
    </w:pPr>
    <w:rPr>
      <w:sz w:val="20"/>
      <w:szCs w:val="20"/>
    </w:rPr>
  </w:style>
  <w:style w:type="paragraph" w:styleId="11">
    <w:name w:val="annotation text"/>
    <w:basedOn w:val="1"/>
    <w:link w:val="57"/>
    <w:autoRedefine/>
    <w:unhideWhenUsed/>
    <w:qFormat/>
    <w:uiPriority w:val="99"/>
    <w:pPr>
      <w:jc w:val="left"/>
    </w:pPr>
  </w:style>
  <w:style w:type="paragraph" w:styleId="12">
    <w:name w:val="Body Text Indent"/>
    <w:basedOn w:val="1"/>
    <w:autoRedefine/>
    <w:qFormat/>
    <w:uiPriority w:val="0"/>
    <w:pPr>
      <w:spacing w:after="120"/>
      <w:ind w:left="420" w:leftChars="200"/>
    </w:pPr>
    <w:rPr>
      <w:rFonts w:ascii="等线" w:hAnsi="等线" w:eastAsia="等线"/>
    </w:rPr>
  </w:style>
  <w:style w:type="paragraph" w:styleId="13">
    <w:name w:val="toc 3"/>
    <w:basedOn w:val="1"/>
    <w:next w:val="1"/>
    <w:autoRedefine/>
    <w:qFormat/>
    <w:uiPriority w:val="39"/>
    <w:pPr>
      <w:ind w:left="840" w:leftChars="400"/>
    </w:pPr>
    <w:rPr>
      <w:rFonts w:ascii="Times New Roman" w:hAnsi="Times New Roman"/>
    </w:rPr>
  </w:style>
  <w:style w:type="paragraph" w:styleId="14">
    <w:name w:val="Plain Text"/>
    <w:basedOn w:val="1"/>
    <w:next w:val="10"/>
    <w:unhideWhenUsed/>
    <w:qFormat/>
    <w:uiPriority w:val="0"/>
    <w:rPr>
      <w:rFonts w:hAnsi="Courier New" w:eastAsia="等线" w:cs="Courier New"/>
      <w:szCs w:val="21"/>
    </w:rPr>
  </w:style>
  <w:style w:type="paragraph" w:styleId="15">
    <w:name w:val="Date"/>
    <w:basedOn w:val="1"/>
    <w:next w:val="1"/>
    <w:autoRedefine/>
    <w:qFormat/>
    <w:uiPriority w:val="0"/>
  </w:style>
  <w:style w:type="paragraph" w:styleId="16">
    <w:name w:val="Balloon Text"/>
    <w:basedOn w:val="1"/>
    <w:link w:val="56"/>
    <w:autoRedefine/>
    <w:qFormat/>
    <w:uiPriority w:val="0"/>
    <w:rPr>
      <w:sz w:val="18"/>
      <w:szCs w:val="18"/>
    </w:rPr>
  </w:style>
  <w:style w:type="paragraph" w:styleId="17">
    <w:name w:val="footer"/>
    <w:basedOn w:val="1"/>
    <w:autoRedefine/>
    <w:qFormat/>
    <w:uiPriority w:val="99"/>
    <w:pPr>
      <w:tabs>
        <w:tab w:val="center" w:pos="4153"/>
        <w:tab w:val="right" w:pos="8306"/>
      </w:tabs>
      <w:snapToGrid w:val="0"/>
      <w:jc w:val="left"/>
    </w:pPr>
    <w:rPr>
      <w:rFonts w:hAnsi="Times New Roman"/>
      <w:sz w:val="18"/>
      <w:szCs w:val="18"/>
    </w:rPr>
  </w:style>
  <w:style w:type="paragraph" w:styleId="18">
    <w:name w:val="envelope return"/>
    <w:basedOn w:val="1"/>
    <w:autoRedefine/>
    <w:qFormat/>
    <w:uiPriority w:val="0"/>
    <w:pPr>
      <w:snapToGrid w:val="0"/>
    </w:pPr>
    <w:rPr>
      <w:rFonts w:ascii="Arial" w:hAnsi="Arial" w:cs="Arial"/>
    </w:rPr>
  </w:style>
  <w:style w:type="paragraph" w:styleId="19">
    <w:name w:val="header"/>
    <w:basedOn w:val="1"/>
    <w:qFormat/>
    <w:uiPriority w:val="99"/>
    <w:pPr>
      <w:pBdr>
        <w:bottom w:val="single" w:color="auto" w:sz="6" w:space="1"/>
      </w:pBdr>
      <w:tabs>
        <w:tab w:val="center" w:pos="4153"/>
        <w:tab w:val="right" w:pos="8306"/>
      </w:tabs>
      <w:snapToGrid w:val="0"/>
      <w:jc w:val="center"/>
    </w:pPr>
    <w:rPr>
      <w:rFonts w:hAnsi="Times New Roman"/>
      <w:sz w:val="18"/>
      <w:szCs w:val="18"/>
    </w:rPr>
  </w:style>
  <w:style w:type="paragraph" w:styleId="20">
    <w:name w:val="toc 1"/>
    <w:basedOn w:val="1"/>
    <w:next w:val="1"/>
    <w:autoRedefine/>
    <w:qFormat/>
    <w:uiPriority w:val="39"/>
    <w:pPr>
      <w:tabs>
        <w:tab w:val="right" w:leader="dot" w:pos="8296"/>
      </w:tabs>
      <w:spacing w:line="360" w:lineRule="auto"/>
      <w:ind w:left="850" w:leftChars="1" w:hanging="848" w:hangingChars="404"/>
      <w:jc w:val="center"/>
    </w:pPr>
    <w:rPr>
      <w:rFonts w:ascii="Times New Roman" w:hAnsi="Times New Roman"/>
    </w:rPr>
  </w:style>
  <w:style w:type="paragraph" w:styleId="21">
    <w:name w:val="toc 2"/>
    <w:basedOn w:val="1"/>
    <w:next w:val="1"/>
    <w:autoRedefine/>
    <w:qFormat/>
    <w:uiPriority w:val="39"/>
    <w:pPr>
      <w:tabs>
        <w:tab w:val="right" w:leader="dot" w:pos="9344"/>
      </w:tabs>
      <w:spacing w:line="360" w:lineRule="auto"/>
      <w:jc w:val="left"/>
    </w:pPr>
    <w:rPr>
      <w:b/>
      <w:smallCaps/>
      <w:szCs w:val="21"/>
    </w:rPr>
  </w:style>
  <w:style w:type="paragraph" w:styleId="22">
    <w:name w:val="Body Text 2"/>
    <w:basedOn w:val="1"/>
    <w:autoRedefine/>
    <w:qFormat/>
    <w:uiPriority w:val="0"/>
    <w:pPr>
      <w:widowControl/>
    </w:pPr>
    <w:rPr>
      <w:rFonts w:ascii="楷体_GB2312" w:hAnsi="宋体" w:eastAsia="楷体_GB2312"/>
      <w:color w:val="000000"/>
      <w:kern w:val="0"/>
      <w:szCs w:val="21"/>
    </w:rPr>
  </w:style>
  <w:style w:type="paragraph" w:styleId="23">
    <w:name w:val="Normal (Web)"/>
    <w:basedOn w:val="1"/>
    <w:autoRedefine/>
    <w:qFormat/>
    <w:uiPriority w:val="0"/>
    <w:pPr>
      <w:widowControl/>
      <w:spacing w:before="100" w:beforeAutospacing="1" w:after="100" w:afterAutospacing="1"/>
      <w:jc w:val="left"/>
    </w:pPr>
    <w:rPr>
      <w:rFonts w:cs="宋体"/>
      <w:kern w:val="0"/>
      <w:sz w:val="24"/>
    </w:rPr>
  </w:style>
  <w:style w:type="paragraph" w:styleId="24">
    <w:name w:val="annotation subject"/>
    <w:basedOn w:val="11"/>
    <w:next w:val="11"/>
    <w:link w:val="58"/>
    <w:autoRedefine/>
    <w:semiHidden/>
    <w:unhideWhenUsed/>
    <w:qFormat/>
    <w:uiPriority w:val="0"/>
    <w:rPr>
      <w:b/>
      <w:bCs/>
    </w:rPr>
  </w:style>
  <w:style w:type="paragraph" w:styleId="25">
    <w:name w:val="Body Text First Indent"/>
    <w:basedOn w:val="2"/>
    <w:autoRedefine/>
    <w:qFormat/>
    <w:uiPriority w:val="0"/>
    <w:pPr>
      <w:ind w:firstLine="420" w:firstLineChars="100"/>
    </w:pPr>
    <w:rPr>
      <w:rFonts w:ascii="等线" w:hAnsi="等线" w:eastAsia="等线"/>
    </w:rPr>
  </w:style>
  <w:style w:type="paragraph" w:styleId="26">
    <w:name w:val="Body Text First Indent 2"/>
    <w:basedOn w:val="12"/>
    <w:autoRedefine/>
    <w:qFormat/>
    <w:uiPriority w:val="0"/>
    <w:pPr>
      <w:adjustRightInd w:val="0"/>
      <w:spacing w:line="312" w:lineRule="atLeast"/>
      <w:ind w:firstLine="420" w:firstLineChars="200"/>
      <w:textAlignment w:val="baseline"/>
    </w:pPr>
  </w:style>
  <w:style w:type="table" w:styleId="28">
    <w:name w:val="Table Grid"/>
    <w:basedOn w:val="27"/>
    <w:qFormat/>
    <w:uiPriority w:val="9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Hyperlink"/>
    <w:autoRedefine/>
    <w:qFormat/>
    <w:uiPriority w:val="99"/>
    <w:rPr>
      <w:color w:val="0000FF"/>
      <w:u w:val="single"/>
    </w:rPr>
  </w:style>
  <w:style w:type="character" w:styleId="31">
    <w:name w:val="annotation reference"/>
    <w:basedOn w:val="29"/>
    <w:semiHidden/>
    <w:unhideWhenUsed/>
    <w:qFormat/>
    <w:uiPriority w:val="0"/>
    <w:rPr>
      <w:sz w:val="21"/>
      <w:szCs w:val="21"/>
    </w:rPr>
  </w:style>
  <w:style w:type="paragraph" w:customStyle="1" w:styleId="32">
    <w:name w:val="BodyText1I2"/>
    <w:basedOn w:val="33"/>
    <w:qFormat/>
    <w:uiPriority w:val="0"/>
    <w:pPr>
      <w:widowControl w:val="0"/>
      <w:spacing w:after="120" w:line="360" w:lineRule="auto"/>
      <w:ind w:left="420" w:leftChars="200" w:firstLine="420" w:firstLineChars="200"/>
      <w:jc w:val="both"/>
    </w:pPr>
    <w:rPr>
      <w:rFonts w:ascii="Calibri" w:hAnsi="Calibri" w:eastAsia="宋体" w:cs="Times New Roman"/>
      <w:kern w:val="2"/>
      <w:sz w:val="24"/>
      <w:szCs w:val="22"/>
      <w:lang w:val="en-US" w:eastAsia="zh-CN" w:bidi="ar-SA"/>
    </w:rPr>
  </w:style>
  <w:style w:type="paragraph" w:customStyle="1" w:styleId="33">
    <w:name w:val="BodyTextIndent"/>
    <w:next w:val="1"/>
    <w:qFormat/>
    <w:uiPriority w:val="0"/>
    <w:pPr>
      <w:widowControl w:val="0"/>
      <w:spacing w:after="120" w:line="360" w:lineRule="auto"/>
      <w:ind w:left="420" w:leftChars="200" w:firstLine="420" w:firstLineChars="200"/>
      <w:jc w:val="both"/>
    </w:pPr>
    <w:rPr>
      <w:rFonts w:ascii="Calibri" w:hAnsi="Calibri" w:eastAsia="宋体" w:cs="Times New Roman"/>
      <w:kern w:val="2"/>
      <w:sz w:val="21"/>
      <w:szCs w:val="24"/>
      <w:lang w:val="en-US" w:eastAsia="zh-CN" w:bidi="ar-SA"/>
    </w:rPr>
  </w:style>
  <w:style w:type="paragraph" w:styleId="34">
    <w:name w:val="List Paragraph"/>
    <w:basedOn w:val="1"/>
    <w:autoRedefine/>
    <w:qFormat/>
    <w:uiPriority w:val="34"/>
    <w:pPr>
      <w:ind w:firstLine="420" w:firstLineChars="200"/>
    </w:pPr>
    <w:rPr>
      <w:rFonts w:ascii="Times New Roman"/>
      <w:szCs w:val="20"/>
    </w:rPr>
  </w:style>
  <w:style w:type="paragraph" w:customStyle="1" w:styleId="35">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36">
    <w:name w:val="！正文"/>
    <w:basedOn w:val="1"/>
    <w:autoRedefine/>
    <w:qFormat/>
    <w:uiPriority w:val="0"/>
    <w:pPr>
      <w:spacing w:line="360" w:lineRule="auto"/>
      <w:ind w:firstLine="200" w:firstLineChars="200"/>
    </w:pPr>
    <w:rPr>
      <w:sz w:val="24"/>
    </w:rPr>
  </w:style>
  <w:style w:type="paragraph" w:customStyle="1" w:styleId="37">
    <w:name w:val="Body text|1"/>
    <w:basedOn w:val="1"/>
    <w:autoRedefine/>
    <w:qFormat/>
    <w:uiPriority w:val="0"/>
    <w:rPr>
      <w:rFonts w:cs="宋体"/>
      <w:sz w:val="20"/>
      <w:szCs w:val="20"/>
      <w:lang w:val="zh-TW" w:eastAsia="zh-TW" w:bidi="zh-TW"/>
    </w:rPr>
  </w:style>
  <w:style w:type="paragraph" w:customStyle="1" w:styleId="38">
    <w:name w:val="Body text|7"/>
    <w:basedOn w:val="1"/>
    <w:autoRedefine/>
    <w:qFormat/>
    <w:uiPriority w:val="0"/>
    <w:pPr>
      <w:spacing w:after="110"/>
      <w:jc w:val="center"/>
    </w:pPr>
    <w:rPr>
      <w:rFonts w:cs="宋体"/>
      <w:sz w:val="36"/>
      <w:szCs w:val="36"/>
      <w:lang w:val="zh-TW" w:eastAsia="zh-TW" w:bidi="zh-TW"/>
    </w:rPr>
  </w:style>
  <w:style w:type="paragraph" w:customStyle="1" w:styleId="39">
    <w:name w:val="Other|1"/>
    <w:basedOn w:val="1"/>
    <w:autoRedefine/>
    <w:qFormat/>
    <w:uiPriority w:val="0"/>
    <w:pPr>
      <w:spacing w:line="434" w:lineRule="auto"/>
      <w:ind w:firstLine="400"/>
    </w:pPr>
    <w:rPr>
      <w:rFonts w:cs="宋体"/>
      <w:sz w:val="30"/>
      <w:szCs w:val="30"/>
      <w:lang w:val="zh-TW" w:eastAsia="zh-TW" w:bidi="zh-TW"/>
    </w:rPr>
  </w:style>
  <w:style w:type="paragraph" w:customStyle="1" w:styleId="40">
    <w:name w:val="Body text|2"/>
    <w:basedOn w:val="1"/>
    <w:autoRedefine/>
    <w:qFormat/>
    <w:uiPriority w:val="0"/>
    <w:pPr>
      <w:spacing w:line="434" w:lineRule="auto"/>
      <w:ind w:firstLine="400"/>
    </w:pPr>
    <w:rPr>
      <w:rFonts w:cs="宋体"/>
      <w:sz w:val="30"/>
      <w:szCs w:val="30"/>
      <w:lang w:val="zh-TW" w:eastAsia="zh-TW" w:bidi="zh-TW"/>
    </w:rPr>
  </w:style>
  <w:style w:type="paragraph" w:customStyle="1" w:styleId="41">
    <w:name w:val="Heading #5|1"/>
    <w:basedOn w:val="1"/>
    <w:autoRedefine/>
    <w:qFormat/>
    <w:uiPriority w:val="0"/>
    <w:pPr>
      <w:spacing w:after="120"/>
      <w:jc w:val="center"/>
      <w:outlineLvl w:val="4"/>
    </w:pPr>
    <w:rPr>
      <w:rFonts w:cs="宋体"/>
      <w:b/>
      <w:bCs/>
      <w:sz w:val="44"/>
      <w:szCs w:val="44"/>
      <w:lang w:val="zh-TW" w:eastAsia="zh-TW" w:bidi="zh-TW"/>
    </w:rPr>
  </w:style>
  <w:style w:type="paragraph" w:customStyle="1" w:styleId="42">
    <w:name w:val="Body text|4"/>
    <w:basedOn w:val="1"/>
    <w:autoRedefine/>
    <w:qFormat/>
    <w:uiPriority w:val="0"/>
    <w:pPr>
      <w:spacing w:line="360" w:lineRule="auto"/>
      <w:ind w:firstLine="440"/>
    </w:pPr>
    <w:rPr>
      <w:sz w:val="22"/>
      <w:szCs w:val="22"/>
    </w:rPr>
  </w:style>
  <w:style w:type="paragraph" w:customStyle="1" w:styleId="43">
    <w:name w:val="Table of contents|1"/>
    <w:basedOn w:val="1"/>
    <w:autoRedefine/>
    <w:qFormat/>
    <w:uiPriority w:val="0"/>
    <w:pPr>
      <w:spacing w:after="300"/>
      <w:jc w:val="center"/>
    </w:pPr>
    <w:rPr>
      <w:rFonts w:cs="宋体"/>
      <w:sz w:val="20"/>
      <w:szCs w:val="20"/>
      <w:lang w:val="zh-TW" w:eastAsia="zh-TW" w:bidi="zh-TW"/>
    </w:rPr>
  </w:style>
  <w:style w:type="paragraph" w:customStyle="1" w:styleId="44">
    <w:name w:val="Heading #6|1"/>
    <w:basedOn w:val="1"/>
    <w:autoRedefine/>
    <w:qFormat/>
    <w:uiPriority w:val="0"/>
    <w:pPr>
      <w:spacing w:line="355" w:lineRule="exact"/>
      <w:ind w:firstLine="380"/>
      <w:outlineLvl w:val="5"/>
    </w:pPr>
    <w:rPr>
      <w:rFonts w:cs="宋体"/>
      <w:b/>
      <w:bCs/>
      <w:sz w:val="20"/>
      <w:szCs w:val="20"/>
      <w:lang w:val="zh-TW" w:eastAsia="zh-TW" w:bidi="zh-TW"/>
    </w:rPr>
  </w:style>
  <w:style w:type="paragraph" w:customStyle="1" w:styleId="45">
    <w:name w:val="Table caption|1"/>
    <w:basedOn w:val="1"/>
    <w:autoRedefine/>
    <w:qFormat/>
    <w:uiPriority w:val="0"/>
    <w:rPr>
      <w:rFonts w:cs="宋体"/>
      <w:sz w:val="20"/>
      <w:szCs w:val="20"/>
      <w:lang w:val="zh-TW" w:eastAsia="zh-TW" w:bidi="zh-TW"/>
    </w:rPr>
  </w:style>
  <w:style w:type="paragraph" w:customStyle="1" w:styleId="46">
    <w:name w:val="Other|2"/>
    <w:basedOn w:val="1"/>
    <w:autoRedefine/>
    <w:qFormat/>
    <w:uiPriority w:val="0"/>
    <w:pPr>
      <w:spacing w:line="165" w:lineRule="exact"/>
    </w:pPr>
    <w:rPr>
      <w:rFonts w:cs="宋体"/>
      <w:sz w:val="16"/>
      <w:szCs w:val="16"/>
      <w:lang w:val="zh-TW" w:eastAsia="zh-TW" w:bidi="zh-TW"/>
    </w:rPr>
  </w:style>
  <w:style w:type="table" w:customStyle="1" w:styleId="47">
    <w:name w:val="网格型3"/>
    <w:basedOn w:val="27"/>
    <w:autoRedefine/>
    <w:qFormat/>
    <w:uiPriority w:val="99"/>
    <w:pPr>
      <w:widowControl w:val="0"/>
      <w:jc w:val="both"/>
    </w:pPr>
    <w:rPr>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8">
    <w:name w:val="font21"/>
    <w:basedOn w:val="29"/>
    <w:autoRedefine/>
    <w:qFormat/>
    <w:uiPriority w:val="0"/>
    <w:rPr>
      <w:rFonts w:hint="eastAsia" w:ascii="宋体" w:hAnsi="宋体" w:eastAsia="宋体" w:cs="宋体"/>
      <w:color w:val="000000"/>
      <w:sz w:val="24"/>
      <w:szCs w:val="24"/>
      <w:u w:val="none"/>
    </w:rPr>
  </w:style>
  <w:style w:type="character" w:customStyle="1" w:styleId="49">
    <w:name w:val="font11"/>
    <w:basedOn w:val="29"/>
    <w:autoRedefine/>
    <w:qFormat/>
    <w:uiPriority w:val="0"/>
    <w:rPr>
      <w:rFonts w:hint="eastAsia" w:ascii="宋体" w:hAnsi="宋体" w:eastAsia="宋体" w:cs="宋体"/>
      <w:color w:val="000000"/>
      <w:sz w:val="24"/>
      <w:szCs w:val="24"/>
      <w:u w:val="none"/>
      <w:vertAlign w:val="superscript"/>
    </w:rPr>
  </w:style>
  <w:style w:type="paragraph" w:customStyle="1" w:styleId="50">
    <w:name w:val="+正文"/>
    <w:basedOn w:val="1"/>
    <w:autoRedefine/>
    <w:qFormat/>
    <w:uiPriority w:val="0"/>
    <w:pPr>
      <w:spacing w:line="360" w:lineRule="auto"/>
      <w:ind w:firstLine="200" w:firstLineChars="200"/>
    </w:pPr>
    <w:rPr>
      <w:sz w:val="24"/>
      <w:szCs w:val="28"/>
    </w:rPr>
  </w:style>
  <w:style w:type="character" w:customStyle="1" w:styleId="51">
    <w:name w:val="font91"/>
    <w:basedOn w:val="29"/>
    <w:autoRedefine/>
    <w:qFormat/>
    <w:uiPriority w:val="0"/>
    <w:rPr>
      <w:rFonts w:hint="eastAsia" w:ascii="宋体" w:hAnsi="宋体" w:eastAsia="宋体" w:cs="宋体"/>
      <w:color w:val="000000"/>
      <w:sz w:val="24"/>
      <w:szCs w:val="24"/>
      <w:u w:val="none"/>
    </w:rPr>
  </w:style>
  <w:style w:type="paragraph" w:customStyle="1" w:styleId="52">
    <w:name w:val="Normal_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3">
    <w:name w:val="Normal_4"/>
    <w:autoRedefine/>
    <w:qFormat/>
    <w:uiPriority w:val="0"/>
    <w:pPr>
      <w:widowControl w:val="0"/>
      <w:jc w:val="both"/>
    </w:pPr>
    <w:rPr>
      <w:rFonts w:asciiTheme="minorHAnsi" w:hAnsiTheme="minorHAnsi" w:eastAsiaTheme="minorEastAsia" w:cstheme="minorBidi"/>
      <w:lang w:val="en-US" w:eastAsia="zh-CN" w:bidi="ar-SA"/>
    </w:rPr>
  </w:style>
  <w:style w:type="paragraph" w:customStyle="1" w:styleId="54">
    <w:name w:val="正文退2格"/>
    <w:basedOn w:val="1"/>
    <w:autoRedefine/>
    <w:qFormat/>
    <w:uiPriority w:val="0"/>
    <w:pPr>
      <w:ind w:firstLine="200" w:firstLineChars="200"/>
    </w:pPr>
  </w:style>
  <w:style w:type="paragraph" w:customStyle="1" w:styleId="55">
    <w:name w:val="1册标题3"/>
    <w:basedOn w:val="1"/>
    <w:next w:val="1"/>
    <w:qFormat/>
    <w:uiPriority w:val="0"/>
    <w:pPr>
      <w:keepNext/>
      <w:keepLines/>
      <w:widowControl/>
      <w:tabs>
        <w:tab w:val="left" w:pos="1128"/>
        <w:tab w:val="left" w:pos="5058"/>
      </w:tabs>
      <w:adjustRightInd w:val="0"/>
      <w:spacing w:before="156" w:beforeLines="50" w:after="156" w:afterLines="50" w:line="360" w:lineRule="auto"/>
      <w:jc w:val="left"/>
      <w:textAlignment w:val="baseline"/>
      <w:outlineLvl w:val="2"/>
    </w:pPr>
    <w:rPr>
      <w:b/>
      <w:bCs/>
      <w:kern w:val="0"/>
      <w:sz w:val="24"/>
    </w:rPr>
  </w:style>
  <w:style w:type="character" w:customStyle="1" w:styleId="56">
    <w:name w:val="批注框文本 字符"/>
    <w:basedOn w:val="29"/>
    <w:link w:val="16"/>
    <w:autoRedefine/>
    <w:qFormat/>
    <w:uiPriority w:val="0"/>
    <w:rPr>
      <w:rFonts w:ascii="宋体" w:hAnsi="宋体"/>
      <w:kern w:val="2"/>
      <w:sz w:val="18"/>
      <w:szCs w:val="18"/>
    </w:rPr>
  </w:style>
  <w:style w:type="character" w:customStyle="1" w:styleId="57">
    <w:name w:val="批注文字 字符"/>
    <w:basedOn w:val="29"/>
    <w:link w:val="11"/>
    <w:autoRedefine/>
    <w:qFormat/>
    <w:uiPriority w:val="99"/>
    <w:rPr>
      <w:rFonts w:ascii="宋体" w:hAnsi="宋体"/>
      <w:kern w:val="2"/>
      <w:sz w:val="21"/>
      <w:szCs w:val="24"/>
    </w:rPr>
  </w:style>
  <w:style w:type="character" w:customStyle="1" w:styleId="58">
    <w:name w:val="批注主题 字符"/>
    <w:basedOn w:val="57"/>
    <w:link w:val="24"/>
    <w:autoRedefine/>
    <w:semiHidden/>
    <w:qFormat/>
    <w:uiPriority w:val="0"/>
    <w:rPr>
      <w:rFonts w:ascii="宋体" w:hAnsi="宋体"/>
      <w:b/>
      <w:bCs/>
      <w:kern w:val="2"/>
      <w:sz w:val="21"/>
      <w:szCs w:val="24"/>
    </w:rPr>
  </w:style>
  <w:style w:type="paragraph" w:customStyle="1" w:styleId="59">
    <w:name w:val="Default1"/>
    <w:autoRedefine/>
    <w:qFormat/>
    <w:uiPriority w:val="0"/>
    <w:pPr>
      <w:widowControl w:val="0"/>
      <w:autoSpaceDE w:val="0"/>
      <w:autoSpaceDN w:val="0"/>
      <w:adjustRightInd w:val="0"/>
    </w:pPr>
    <w:rPr>
      <w:rFonts w:ascii="宋体" w:hAnsi="Times New Roman" w:eastAsia="仿宋_GB2312" w:cs="宋体"/>
      <w:color w:val="000000"/>
      <w:sz w:val="24"/>
      <w:szCs w:val="24"/>
      <w:lang w:val="en-US" w:eastAsia="zh-CN" w:bidi="ar-SA"/>
    </w:rPr>
  </w:style>
  <w:style w:type="table" w:customStyle="1" w:styleId="60">
    <w:name w:val="Table Grid_1"/>
    <w:basedOn w:val="2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1">
    <w:name w:val="font01"/>
    <w:basedOn w:val="29"/>
    <w:autoRedefine/>
    <w:qFormat/>
    <w:uiPriority w:val="0"/>
    <w:rPr>
      <w:rFonts w:hint="default" w:ascii="Arial" w:hAnsi="Arial" w:cs="Arial"/>
      <w:color w:val="000000"/>
      <w:sz w:val="24"/>
      <w:szCs w:val="24"/>
      <w:u w:val="none"/>
    </w:rPr>
  </w:style>
  <w:style w:type="paragraph" w:customStyle="1" w:styleId="62">
    <w:name w:val="Revision"/>
    <w:autoRedefine/>
    <w:hidden/>
    <w:unhideWhenUsed/>
    <w:qFormat/>
    <w:uiPriority w:val="99"/>
    <w:rPr>
      <w:rFonts w:ascii="宋体" w:hAnsi="宋体" w:eastAsia="宋体" w:cs="Times New Roman"/>
      <w:kern w:val="2"/>
      <w:sz w:val="21"/>
      <w:szCs w:val="24"/>
      <w:lang w:val="en-US" w:eastAsia="zh-CN" w:bidi="ar-SA"/>
    </w:rPr>
  </w:style>
  <w:style w:type="paragraph" w:customStyle="1" w:styleId="63">
    <w:name w:val="Table Text"/>
    <w:basedOn w:val="1"/>
    <w:autoRedefine/>
    <w:semiHidden/>
    <w:qFormat/>
    <w:uiPriority w:val="0"/>
    <w:rPr>
      <w:rFonts w:ascii="宋体" w:hAnsi="宋体" w:eastAsia="宋体" w:cs="宋体"/>
      <w:sz w:val="16"/>
      <w:szCs w:val="16"/>
      <w:lang w:val="en-US" w:eastAsia="en-US" w:bidi="ar-SA"/>
    </w:rPr>
  </w:style>
  <w:style w:type="table" w:customStyle="1" w:styleId="64">
    <w:name w:val="Table Normal"/>
    <w:autoRedefine/>
    <w:semiHidden/>
    <w:unhideWhenUsed/>
    <w:qFormat/>
    <w:uiPriority w:val="0"/>
    <w:tblPr>
      <w:tblCellMar>
        <w:top w:w="0" w:type="dxa"/>
        <w:left w:w="0" w:type="dxa"/>
        <w:bottom w:w="0" w:type="dxa"/>
        <w:right w:w="0" w:type="dxa"/>
      </w:tblCellMar>
    </w:tblPr>
  </w:style>
  <w:style w:type="character" w:customStyle="1" w:styleId="65">
    <w:name w:val="font41"/>
    <w:basedOn w:val="29"/>
    <w:autoRedefine/>
    <w:qFormat/>
    <w:uiPriority w:val="0"/>
    <w:rPr>
      <w:rFonts w:hint="eastAsia" w:ascii="宋体" w:hAnsi="宋体" w:eastAsia="宋体" w:cs="宋体"/>
      <w:b/>
      <w:bCs/>
      <w:color w:val="000000"/>
      <w:sz w:val="24"/>
      <w:szCs w:val="24"/>
      <w:u w:val="none"/>
    </w:rPr>
  </w:style>
  <w:style w:type="character" w:customStyle="1" w:styleId="66">
    <w:name w:val="font31"/>
    <w:basedOn w:val="29"/>
    <w:autoRedefine/>
    <w:qFormat/>
    <w:uiPriority w:val="0"/>
    <w:rPr>
      <w:rFonts w:hint="eastAsia" w:ascii="宋体" w:hAnsi="宋体" w:eastAsia="宋体" w:cs="宋体"/>
      <w:color w:val="000000"/>
      <w:sz w:val="21"/>
      <w:szCs w:val="21"/>
      <w:u w:val="none"/>
    </w:rPr>
  </w:style>
  <w:style w:type="paragraph" w:customStyle="1" w:styleId="67">
    <w:name w:val="表格"/>
    <w:basedOn w:val="1"/>
    <w:autoRedefine/>
    <w:qFormat/>
    <w:uiPriority w:val="0"/>
    <w:pPr>
      <w:spacing w:line="240" w:lineRule="auto"/>
      <w:ind w:firstLine="0" w:firstLineChars="0"/>
    </w:pPr>
    <w:rPr>
      <w:rFonts w:hint="eastAsia" w:cs="仿宋_GB2312"/>
      <w:sz w:val="24"/>
    </w:rPr>
  </w:style>
  <w:style w:type="table" w:customStyle="1" w:styleId="68">
    <w:name w:val="网格型1"/>
    <w:basedOn w:val="27"/>
    <w:autoRedefine/>
    <w:qFormat/>
    <w:uiPriority w:val="9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9">
    <w:name w:val="font61"/>
    <w:basedOn w:val="29"/>
    <w:autoRedefine/>
    <w:qFormat/>
    <w:uiPriority w:val="0"/>
    <w:rPr>
      <w:rFonts w:hint="eastAsia" w:ascii="宋体" w:hAnsi="宋体" w:eastAsia="宋体" w:cs="宋体"/>
      <w:color w:val="000000"/>
      <w:sz w:val="20"/>
      <w:szCs w:val="20"/>
      <w:u w:val="none"/>
    </w:rPr>
  </w:style>
  <w:style w:type="character" w:customStyle="1" w:styleId="70">
    <w:name w:val="font71"/>
    <w:basedOn w:val="29"/>
    <w:qFormat/>
    <w:uiPriority w:val="0"/>
    <w:rPr>
      <w:rFonts w:hint="eastAsia" w:ascii="宋体" w:hAnsi="宋体" w:eastAsia="宋体" w:cs="宋体"/>
      <w:color w:val="000000"/>
      <w:sz w:val="20"/>
      <w:szCs w:val="20"/>
      <w:u w:val="none"/>
    </w:rPr>
  </w:style>
  <w:style w:type="character" w:customStyle="1" w:styleId="71">
    <w:name w:val="font121"/>
    <w:basedOn w:val="29"/>
    <w:autoRedefine/>
    <w:qFormat/>
    <w:uiPriority w:val="0"/>
    <w:rPr>
      <w:rFonts w:hint="default" w:ascii="Times New Roman" w:hAnsi="Times New Roman" w:cs="Times New Roman"/>
      <w:color w:val="000000"/>
      <w:sz w:val="20"/>
      <w:szCs w:val="20"/>
      <w:u w:val="none"/>
    </w:rPr>
  </w:style>
  <w:style w:type="character" w:customStyle="1" w:styleId="72">
    <w:name w:val="font141"/>
    <w:basedOn w:val="29"/>
    <w:autoRedefine/>
    <w:qFormat/>
    <w:uiPriority w:val="0"/>
    <w:rPr>
      <w:rFonts w:hint="eastAsia" w:ascii="宋体" w:hAnsi="宋体" w:eastAsia="宋体" w:cs="宋体"/>
      <w:color w:val="000000"/>
      <w:sz w:val="20"/>
      <w:szCs w:val="20"/>
      <w:u w:val="none"/>
    </w:rPr>
  </w:style>
  <w:style w:type="character" w:customStyle="1" w:styleId="73">
    <w:name w:val="font101"/>
    <w:basedOn w:val="29"/>
    <w:autoRedefine/>
    <w:qFormat/>
    <w:uiPriority w:val="0"/>
    <w:rPr>
      <w:rFonts w:ascii="宋体" w:hAnsi="宋体" w:eastAsia="宋体" w:cs="宋体"/>
      <w:color w:val="000000"/>
      <w:sz w:val="20"/>
      <w:szCs w:val="20"/>
      <w:u w:val="none"/>
    </w:rPr>
  </w:style>
  <w:style w:type="character" w:customStyle="1" w:styleId="74">
    <w:name w:val="font151"/>
    <w:basedOn w:val="29"/>
    <w:autoRedefine/>
    <w:qFormat/>
    <w:uiPriority w:val="0"/>
    <w:rPr>
      <w:rFonts w:ascii="宋体" w:hAnsi="宋体" w:eastAsia="宋体" w:cs="宋体"/>
      <w:color w:val="FF0000"/>
      <w:sz w:val="20"/>
      <w:szCs w:val="20"/>
      <w:u w:val="none"/>
    </w:rPr>
  </w:style>
  <w:style w:type="character" w:customStyle="1" w:styleId="75">
    <w:name w:val="font112"/>
    <w:basedOn w:val="29"/>
    <w:autoRedefine/>
    <w:qFormat/>
    <w:uiPriority w:val="0"/>
    <w:rPr>
      <w:rFonts w:hint="default" w:ascii="Times New Roman" w:hAnsi="Times New Roman" w:cs="Times New Roman"/>
      <w:color w:val="FF0000"/>
      <w:sz w:val="20"/>
      <w:szCs w:val="20"/>
      <w:u w:val="none"/>
    </w:rPr>
  </w:style>
  <w:style w:type="character" w:customStyle="1" w:styleId="76">
    <w:name w:val="font51"/>
    <w:basedOn w:val="29"/>
    <w:autoRedefine/>
    <w:qFormat/>
    <w:uiPriority w:val="0"/>
    <w:rPr>
      <w:rFonts w:hint="eastAsia" w:ascii="宋体" w:hAnsi="宋体" w:eastAsia="宋体" w:cs="宋体"/>
      <w:color w:val="FF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11702</Words>
  <Characters>12810</Characters>
  <Lines>220</Lines>
  <Paragraphs>61</Paragraphs>
  <TotalTime>24</TotalTime>
  <ScaleCrop>false</ScaleCrop>
  <LinksUpToDate>false</LinksUpToDate>
  <CharactersWithSpaces>13068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2023-02-16T09:04:00Z</dcterms:created>
  <dc:creator>huangdongliin</dc:creator>
  <cp:lastModifiedBy>林</cp:lastModifiedBy>
  <dcterms:modified xsi:type="dcterms:W3CDTF">2026-07-28T01:27:37Z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B531DD579FCE44F2B298FA9CD146EB87_13</vt:lpwstr>
  </property>
  <property fmtid="{D5CDD505-2E9C-101B-9397-08002B2CF9AE}" pid="4" name="KSOTemplateDocerSaveRecord">
    <vt:lpwstr>eyJoZGlkIjoiYjJiMDFlZDYwYjc5NWViZjNhMzU4Y2EyZGYzMDUzYmYiLCJ1c2VySWQiOiI0MjYxMzY5MzgifQ==</vt:lpwstr>
  </property>
</Properties>
</file>