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rPr>
          <w:rFonts w:hint="eastAsia" w:ascii="宋体" w:hAnsi="宋体" w:eastAsia="宋体" w:cs="宋体"/>
          <w:sz w:val="32"/>
          <w:szCs w:val="32"/>
          <w:lang w:val="en-US"/>
        </w:rPr>
      </w:pPr>
      <w:r>
        <w:rPr>
          <w:rFonts w:hint="eastAsia" w:ascii="宋体" w:hAnsi="宋体" w:eastAsia="宋体" w:cs="宋体"/>
          <w:sz w:val="32"/>
          <w:szCs w:val="32"/>
          <w:lang w:val="en-US"/>
        </w:rPr>
        <w:t>离心泵、阀门等设备采购需求</w:t>
      </w:r>
    </w:p>
    <w:p>
      <w:pPr>
        <w:pStyle w:val="38"/>
        <w:numPr>
          <w:ilvl w:val="0"/>
          <w:numId w:val="2"/>
        </w:numPr>
        <w:spacing w:line="360" w:lineRule="auto"/>
        <w:outlineLvl w:val="0"/>
        <w:rPr>
          <w:rFonts w:hint="eastAsia" w:ascii="宋体" w:hAnsi="宋体" w:eastAsia="宋体" w:cs="宋体"/>
          <w:b/>
          <w:bCs/>
          <w:szCs w:val="21"/>
        </w:rPr>
      </w:pPr>
      <w:bookmarkStart w:id="0" w:name="_Toc30276"/>
      <w:r>
        <w:rPr>
          <w:rFonts w:hint="eastAsia" w:ascii="宋体" w:hAnsi="宋体" w:eastAsia="宋体" w:cs="宋体"/>
          <w:b/>
          <w:szCs w:val="21"/>
          <w:lang w:val="zh-CN"/>
        </w:rPr>
        <w:t>项目概况</w:t>
      </w:r>
      <w:bookmarkEnd w:id="0"/>
    </w:p>
    <w:p>
      <w:pPr>
        <w:pStyle w:val="38"/>
        <w:numPr>
          <w:ilvl w:val="0"/>
          <w:numId w:val="3"/>
        </w:numPr>
        <w:spacing w:line="360" w:lineRule="auto"/>
        <w:ind w:firstLine="422" w:firstLineChars="200"/>
        <w:outlineLvl w:val="1"/>
        <w:rPr>
          <w:rFonts w:hint="eastAsia" w:ascii="宋体" w:hAnsi="宋体" w:eastAsia="宋体" w:cs="宋体"/>
          <w:b/>
          <w:bCs/>
          <w:szCs w:val="21"/>
        </w:rPr>
      </w:pPr>
      <w:r>
        <w:rPr>
          <w:rFonts w:hint="eastAsia" w:ascii="宋体" w:hAnsi="宋体" w:eastAsia="宋体" w:cs="宋体"/>
          <w:b/>
          <w:bCs/>
          <w:szCs w:val="21"/>
        </w:rPr>
        <w:t>项目名称</w:t>
      </w:r>
    </w:p>
    <w:p>
      <w:pPr>
        <w:numPr>
          <w:ilvl w:val="255"/>
          <w:numId w:val="0"/>
        </w:numPr>
        <w:spacing w:line="360" w:lineRule="auto"/>
        <w:ind w:firstLine="420" w:firstLineChars="200"/>
        <w:rPr>
          <w:rFonts w:hint="eastAsia" w:ascii="宋体" w:hAnsi="宋体" w:eastAsia="宋体" w:cs="宋体"/>
          <w:szCs w:val="21"/>
        </w:rPr>
      </w:pPr>
      <w:r>
        <w:rPr>
          <w:rFonts w:hint="eastAsia" w:ascii="宋体" w:hAnsi="宋体" w:eastAsia="宋体" w:cs="宋体"/>
          <w:szCs w:val="21"/>
        </w:rPr>
        <w:t>污泥处理系统设备采购项目离心泵、阀门等设备采购</w:t>
      </w:r>
    </w:p>
    <w:p>
      <w:pPr>
        <w:pStyle w:val="38"/>
        <w:numPr>
          <w:ilvl w:val="0"/>
          <w:numId w:val="4"/>
        </w:numPr>
        <w:spacing w:line="360" w:lineRule="auto"/>
        <w:ind w:firstLine="422" w:firstLineChars="200"/>
        <w:outlineLvl w:val="1"/>
        <w:rPr>
          <w:rFonts w:hint="eastAsia" w:ascii="宋体" w:hAnsi="宋体" w:eastAsia="宋体" w:cs="宋体"/>
          <w:b/>
          <w:bCs/>
          <w:szCs w:val="21"/>
        </w:rPr>
      </w:pPr>
      <w:r>
        <w:rPr>
          <w:rFonts w:hint="eastAsia" w:ascii="宋体" w:hAnsi="宋体" w:eastAsia="宋体" w:cs="宋体"/>
          <w:b/>
          <w:bCs/>
          <w:szCs w:val="21"/>
        </w:rPr>
        <w:t>采购范围</w:t>
      </w:r>
    </w:p>
    <w:p>
      <w:pPr>
        <w:tabs>
          <w:tab w:val="left" w:pos="1260"/>
        </w:tabs>
        <w:spacing w:line="360" w:lineRule="auto"/>
        <w:ind w:firstLine="420" w:firstLineChars="200"/>
        <w:rPr>
          <w:rFonts w:hint="eastAsia" w:ascii="宋体" w:hAnsi="宋体" w:eastAsia="宋体" w:cs="宋体"/>
          <w:szCs w:val="21"/>
        </w:rPr>
      </w:pPr>
      <w:r>
        <w:rPr>
          <w:rFonts w:hint="eastAsia" w:ascii="宋体" w:hAnsi="宋体" w:eastAsia="宋体" w:cs="宋体"/>
          <w:szCs w:val="21"/>
        </w:rPr>
        <w:t>本次采购为污泥处理系统离心泵</w:t>
      </w:r>
      <w:r>
        <w:rPr>
          <w:rFonts w:hint="eastAsia" w:cs="宋体"/>
          <w:szCs w:val="21"/>
          <w:lang w:eastAsia="zh-CN"/>
        </w:rPr>
        <w:t>、</w:t>
      </w:r>
      <w:r>
        <w:rPr>
          <w:rFonts w:hint="eastAsia" w:cs="宋体"/>
          <w:szCs w:val="21"/>
          <w:lang w:val="en-US" w:eastAsia="zh-CN"/>
        </w:rPr>
        <w:t>阀门及管件、电控箱的</w:t>
      </w:r>
      <w:r>
        <w:rPr>
          <w:rFonts w:hint="eastAsia" w:ascii="宋体" w:hAnsi="宋体" w:eastAsia="宋体" w:cs="宋体"/>
          <w:szCs w:val="21"/>
        </w:rPr>
        <w:t>供货、现场指导安装、调试、配合试运行。本次采购除供应设备本体以外，还应包含质保期内正常运行所需备品备件，以及所有联接附件、地脚螺栓等安装附件及专用工具。设备用油需注满。</w:t>
      </w:r>
    </w:p>
    <w:p>
      <w:pPr>
        <w:pStyle w:val="38"/>
        <w:numPr>
          <w:ilvl w:val="0"/>
          <w:numId w:val="5"/>
        </w:numPr>
        <w:spacing w:line="360" w:lineRule="auto"/>
        <w:ind w:firstLine="422" w:firstLineChars="200"/>
        <w:outlineLvl w:val="1"/>
        <w:rPr>
          <w:rFonts w:hint="eastAsia" w:ascii="宋体" w:hAnsi="宋体" w:eastAsia="宋体" w:cs="宋体"/>
          <w:b/>
          <w:bCs/>
          <w:szCs w:val="21"/>
        </w:rPr>
      </w:pPr>
      <w:r>
        <w:rPr>
          <w:rFonts w:hint="eastAsia" w:ascii="宋体" w:hAnsi="宋体" w:eastAsia="宋体" w:cs="宋体"/>
          <w:b/>
          <w:bCs/>
          <w:szCs w:val="21"/>
        </w:rPr>
        <w:t>货物清单</w:t>
      </w:r>
    </w:p>
    <w:tbl>
      <w:tblPr>
        <w:tblStyle w:val="12"/>
        <w:tblW w:w="5141" w:type="pct"/>
        <w:tblInd w:w="-24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05"/>
        <w:gridCol w:w="801"/>
        <w:gridCol w:w="1261"/>
        <w:gridCol w:w="1976"/>
        <w:gridCol w:w="734"/>
        <w:gridCol w:w="734"/>
        <w:gridCol w:w="255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0" w:hRule="atLeast"/>
        </w:trPr>
        <w:tc>
          <w:tcPr>
            <w:tcW w:w="4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序号</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分类</w:t>
            </w:r>
          </w:p>
        </w:tc>
        <w:tc>
          <w:tcPr>
            <w:tcW w:w="7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名称</w:t>
            </w:r>
          </w:p>
        </w:tc>
        <w:tc>
          <w:tcPr>
            <w:tcW w:w="112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型号规格</w:t>
            </w: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单位</w:t>
            </w: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数量</w:t>
            </w:r>
          </w:p>
        </w:tc>
        <w:tc>
          <w:tcPr>
            <w:tcW w:w="14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60" w:hRule="atLeast"/>
        </w:trPr>
        <w:tc>
          <w:tcPr>
            <w:tcW w:w="4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45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设备</w:t>
            </w:r>
          </w:p>
        </w:tc>
        <w:tc>
          <w:tcPr>
            <w:tcW w:w="7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PAC卸药泵</w:t>
            </w:r>
          </w:p>
        </w:tc>
        <w:tc>
          <w:tcPr>
            <w:tcW w:w="112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Q=30m³/h;H=10m，3kw定频</w:t>
            </w: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4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一用一备，</w:t>
            </w:r>
            <w:r>
              <w:rPr>
                <w:rFonts w:hint="eastAsia" w:cs="宋体"/>
                <w:i w:val="0"/>
                <w:iCs w:val="0"/>
                <w:color w:val="000000"/>
                <w:kern w:val="0"/>
                <w:sz w:val="22"/>
                <w:szCs w:val="22"/>
                <w:u w:val="none"/>
                <w:lang w:val="en-US" w:eastAsia="zh-CN" w:bidi="ar"/>
              </w:rPr>
              <w:t>耐腐蚀离心</w:t>
            </w:r>
            <w:r>
              <w:rPr>
                <w:rFonts w:hint="eastAsia" w:ascii="宋体" w:hAnsi="宋体" w:eastAsia="宋体" w:cs="宋体"/>
                <w:i w:val="0"/>
                <w:iCs w:val="0"/>
                <w:color w:val="000000"/>
                <w:kern w:val="0"/>
                <w:sz w:val="22"/>
                <w:szCs w:val="22"/>
                <w:u w:val="none"/>
                <w:lang w:val="en-US" w:eastAsia="zh-CN" w:bidi="ar"/>
              </w:rPr>
              <w:t>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4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45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压榨回流泵</w:t>
            </w:r>
          </w:p>
        </w:tc>
        <w:tc>
          <w:tcPr>
            <w:tcW w:w="112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20m³/h，H=10m，1.5kw，定频</w:t>
            </w: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4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一用一备，立式泵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4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45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压榨回流缓存水箱</w:t>
            </w:r>
          </w:p>
        </w:tc>
        <w:tc>
          <w:tcPr>
            <w:tcW w:w="112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V=10m³，PE，φ2000</w:t>
            </w: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45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45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阀门及管件</w:t>
            </w:r>
          </w:p>
        </w:tc>
        <w:tc>
          <w:tcPr>
            <w:tcW w:w="7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手动球阀</w:t>
            </w:r>
          </w:p>
        </w:tc>
        <w:tc>
          <w:tcPr>
            <w:tcW w:w="112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DN300,UPVC,PN10</w:t>
            </w: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4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用于滤液储罐出口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45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手动球阀</w:t>
            </w:r>
          </w:p>
        </w:tc>
        <w:tc>
          <w:tcPr>
            <w:tcW w:w="112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DN200,UPVC,PN10</w:t>
            </w: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4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滤液储罐放空1个，滤液排放泵1进、出口6个，出口总管连通1个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45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手动球阀</w:t>
            </w:r>
          </w:p>
        </w:tc>
        <w:tc>
          <w:tcPr>
            <w:tcW w:w="112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DN250,UPVC,PN10</w:t>
            </w: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4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滤液排放泵2进、出口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45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手动球阀</w:t>
            </w:r>
          </w:p>
        </w:tc>
        <w:tc>
          <w:tcPr>
            <w:tcW w:w="112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DN100,PE,PN10</w:t>
            </w: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4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压榨回流缓存水箱放空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4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45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手动球阀</w:t>
            </w:r>
          </w:p>
        </w:tc>
        <w:tc>
          <w:tcPr>
            <w:tcW w:w="112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DN65,304不锈钢,PN10</w:t>
            </w: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4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压榨回流缓存水箱出口1个，压榨回流泵进、出口4个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45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手动球阀</w:t>
            </w:r>
          </w:p>
        </w:tc>
        <w:tc>
          <w:tcPr>
            <w:tcW w:w="112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DN80,UPVC,PN10</w:t>
            </w: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4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卸药泵进出口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45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手动球阀</w:t>
            </w:r>
          </w:p>
        </w:tc>
        <w:tc>
          <w:tcPr>
            <w:tcW w:w="112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DN25,铸铁,PN10</w:t>
            </w: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4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卸药泵出口冲洗管1个，地面冲洗1个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45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止回阀</w:t>
            </w:r>
          </w:p>
        </w:tc>
        <w:tc>
          <w:tcPr>
            <w:tcW w:w="112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DN200,UPVC,PN10</w:t>
            </w: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4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滤液排放泵1出口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45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止回阀</w:t>
            </w:r>
          </w:p>
        </w:tc>
        <w:tc>
          <w:tcPr>
            <w:tcW w:w="112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DN250,UPVC,PN10</w:t>
            </w: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4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滤液排放泵2出口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45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止回阀</w:t>
            </w:r>
          </w:p>
        </w:tc>
        <w:tc>
          <w:tcPr>
            <w:tcW w:w="112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DN65,304不锈钢,PN10</w:t>
            </w: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4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压榨回流泵出口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45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止回阀</w:t>
            </w:r>
          </w:p>
        </w:tc>
        <w:tc>
          <w:tcPr>
            <w:tcW w:w="112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DN80,UPVC,PN10</w:t>
            </w: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4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卸药泵出口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45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软接头</w:t>
            </w:r>
          </w:p>
        </w:tc>
        <w:tc>
          <w:tcPr>
            <w:tcW w:w="112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DN200,橡胶,PN10</w:t>
            </w: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4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滤液排放泵1进、出口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45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软接头</w:t>
            </w:r>
          </w:p>
        </w:tc>
        <w:tc>
          <w:tcPr>
            <w:tcW w:w="112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DN250,橡胶,PN10</w:t>
            </w: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4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滤液排放泵2进、出口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45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软接头</w:t>
            </w:r>
          </w:p>
        </w:tc>
        <w:tc>
          <w:tcPr>
            <w:tcW w:w="112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DN65,橡胶,PN10</w:t>
            </w: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4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压榨回流泵进、出口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45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软接头</w:t>
            </w:r>
          </w:p>
        </w:tc>
        <w:tc>
          <w:tcPr>
            <w:tcW w:w="112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DN80,橡胶,PN10</w:t>
            </w: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4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卸药泵出口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45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快速接头</w:t>
            </w:r>
          </w:p>
        </w:tc>
        <w:tc>
          <w:tcPr>
            <w:tcW w:w="112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DN80,304不锈钢,PN10</w:t>
            </w: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4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卸药泵进口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45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浮球开关</w:t>
            </w:r>
          </w:p>
        </w:tc>
        <w:tc>
          <w:tcPr>
            <w:tcW w:w="112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0~5m,输出信号：无源干接点，304不锈钢</w:t>
            </w: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4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滤液储罐开关、报警各1个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w:t>
            </w:r>
          </w:p>
        </w:tc>
        <w:tc>
          <w:tcPr>
            <w:tcW w:w="45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浮球开关</w:t>
            </w:r>
          </w:p>
        </w:tc>
        <w:tc>
          <w:tcPr>
            <w:tcW w:w="112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0~5m,输出信号：无源干接点，304不锈钢</w:t>
            </w: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4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压榨回流缓存水箱开关、报警各1个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w:t>
            </w:r>
          </w:p>
        </w:tc>
        <w:tc>
          <w:tcPr>
            <w:tcW w:w="45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Y型过滤器</w:t>
            </w:r>
          </w:p>
        </w:tc>
        <w:tc>
          <w:tcPr>
            <w:tcW w:w="11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DN50,成品</w:t>
            </w:r>
          </w:p>
        </w:tc>
        <w:tc>
          <w:tcPr>
            <w:tcW w:w="4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4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4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洗布泵前，螺纹连接，国产一线品牌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45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电气</w:t>
            </w:r>
          </w:p>
        </w:tc>
        <w:tc>
          <w:tcPr>
            <w:tcW w:w="7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电控箱</w:t>
            </w:r>
          </w:p>
        </w:tc>
        <w:tc>
          <w:tcPr>
            <w:tcW w:w="112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非标,不锈钢304，</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IP55</w:t>
            </w: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4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PAC卸药泵，中心距操作地坪1.5米，挂墙安装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4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w:t>
            </w:r>
          </w:p>
        </w:tc>
        <w:tc>
          <w:tcPr>
            <w:tcW w:w="45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电控箱</w:t>
            </w:r>
          </w:p>
        </w:tc>
        <w:tc>
          <w:tcPr>
            <w:tcW w:w="112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非标,不锈钢304，</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IP55</w:t>
            </w: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4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压榨回流泵，中心距操作地坪1.5米，挂墙安装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5000" w:type="pct"/>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szCs w:val="21"/>
              </w:rPr>
              <w:t>提供设备安装条件图</w:t>
            </w:r>
            <w:r>
              <w:rPr>
                <w:rFonts w:hint="eastAsia" w:ascii="宋体" w:hAnsi="宋体" w:eastAsia="宋体" w:cs="宋体"/>
                <w:kern w:val="0"/>
                <w:szCs w:val="21"/>
                <w:lang w:bidi="ar"/>
              </w:rPr>
              <w:t>。</w:t>
            </w:r>
          </w:p>
        </w:tc>
      </w:tr>
    </w:tbl>
    <w:p>
      <w:pPr>
        <w:adjustRightInd w:val="0"/>
        <w:snapToGrid w:val="0"/>
        <w:spacing w:line="360" w:lineRule="auto"/>
        <w:rPr>
          <w:rFonts w:hint="eastAsia" w:cs="宋体"/>
          <w:szCs w:val="21"/>
          <w:lang w:val="en-US" w:eastAsia="zh-CN"/>
        </w:rPr>
      </w:pPr>
      <w:r>
        <w:rPr>
          <w:rFonts w:hint="eastAsia" w:ascii="宋体" w:hAnsi="宋体" w:eastAsia="宋体" w:cs="宋体"/>
          <w:szCs w:val="21"/>
        </w:rPr>
        <w:t>★</w:t>
      </w:r>
      <w:r>
        <w:rPr>
          <w:rFonts w:hint="eastAsia" w:cs="宋体"/>
          <w:szCs w:val="21"/>
          <w:lang w:val="en-US" w:eastAsia="zh-CN"/>
        </w:rPr>
        <w:t>品牌要求：</w:t>
      </w:r>
    </w:p>
    <w:tbl>
      <w:tblPr>
        <w:tblStyle w:val="13"/>
        <w:tblW w:w="852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50"/>
        <w:gridCol w:w="2594"/>
        <w:gridCol w:w="3054"/>
        <w:gridCol w:w="1823"/>
      </w:tblGrid>
      <w:tr>
        <w:tblPrEx>
          <w:tblCellMar>
            <w:top w:w="0" w:type="dxa"/>
            <w:left w:w="108" w:type="dxa"/>
            <w:bottom w:w="0" w:type="dxa"/>
            <w:right w:w="108" w:type="dxa"/>
          </w:tblCellMar>
        </w:tblPrEx>
        <w:trPr>
          <w:trHeight w:val="370" w:hRule="atLeast"/>
          <w:jc w:val="center"/>
        </w:trPr>
        <w:tc>
          <w:tcPr>
            <w:tcW w:w="105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cs="宋体"/>
                <w:szCs w:val="21"/>
                <w:vertAlign w:val="baseline"/>
                <w:lang w:val="en-US" w:eastAsia="zh-CN"/>
              </w:rPr>
            </w:pPr>
            <w:r>
              <w:rPr>
                <w:rFonts w:hint="eastAsia" w:cs="宋体"/>
                <w:szCs w:val="21"/>
                <w:vertAlign w:val="baseline"/>
                <w:lang w:val="en-US" w:eastAsia="zh-CN"/>
              </w:rPr>
              <w:t>序号</w:t>
            </w:r>
          </w:p>
        </w:tc>
        <w:tc>
          <w:tcPr>
            <w:tcW w:w="2594"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cs="宋体"/>
                <w:szCs w:val="21"/>
                <w:vertAlign w:val="baseline"/>
                <w:lang w:val="en-US" w:eastAsia="zh-CN"/>
              </w:rPr>
            </w:pPr>
            <w:r>
              <w:rPr>
                <w:rFonts w:hint="eastAsia" w:cs="宋体"/>
                <w:szCs w:val="21"/>
                <w:vertAlign w:val="baseline"/>
                <w:lang w:val="en-US" w:eastAsia="zh-CN"/>
              </w:rPr>
              <w:t>设备</w:t>
            </w:r>
          </w:p>
        </w:tc>
        <w:tc>
          <w:tcPr>
            <w:tcW w:w="3054"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cs="宋体"/>
                <w:szCs w:val="21"/>
                <w:vertAlign w:val="baseline"/>
                <w:lang w:val="en-US" w:eastAsia="zh-CN"/>
              </w:rPr>
            </w:pPr>
            <w:r>
              <w:rPr>
                <w:rFonts w:hint="eastAsia" w:cs="宋体"/>
                <w:szCs w:val="21"/>
                <w:vertAlign w:val="baseline"/>
                <w:lang w:val="en-US" w:eastAsia="zh-CN"/>
              </w:rPr>
              <w:t>品牌要求</w:t>
            </w:r>
          </w:p>
        </w:tc>
        <w:tc>
          <w:tcPr>
            <w:tcW w:w="1823"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cs="宋体"/>
                <w:szCs w:val="21"/>
                <w:vertAlign w:val="baseline"/>
                <w:lang w:val="en-US" w:eastAsia="zh-CN"/>
              </w:rPr>
            </w:pPr>
            <w:r>
              <w:rPr>
                <w:rFonts w:hint="eastAsia" w:cs="宋体"/>
                <w:szCs w:val="21"/>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105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cs="宋体"/>
                <w:szCs w:val="21"/>
                <w:vertAlign w:val="baseline"/>
                <w:lang w:val="en-US" w:eastAsia="zh-CN"/>
              </w:rPr>
            </w:pPr>
            <w:r>
              <w:rPr>
                <w:rFonts w:hint="eastAsia" w:cs="宋体"/>
                <w:szCs w:val="21"/>
                <w:vertAlign w:val="baseline"/>
                <w:lang w:val="en-US" w:eastAsia="zh-CN"/>
              </w:rPr>
              <w:t>1</w:t>
            </w:r>
          </w:p>
        </w:tc>
        <w:tc>
          <w:tcPr>
            <w:tcW w:w="2594"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cs="宋体"/>
                <w:szCs w:val="21"/>
                <w:vertAlign w:val="baseline"/>
                <w:lang w:val="en-US" w:eastAsia="zh-CN"/>
              </w:rPr>
            </w:pPr>
            <w:r>
              <w:rPr>
                <w:rFonts w:hint="eastAsia" w:cs="宋体"/>
                <w:szCs w:val="21"/>
                <w:vertAlign w:val="baseline"/>
                <w:lang w:val="en-US" w:eastAsia="zh-CN"/>
              </w:rPr>
              <w:t>离心泵</w:t>
            </w:r>
          </w:p>
        </w:tc>
        <w:tc>
          <w:tcPr>
            <w:tcW w:w="3054"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cs="宋体"/>
                <w:szCs w:val="21"/>
                <w:vertAlign w:val="baseline"/>
                <w:lang w:val="en-US" w:eastAsia="zh-CN"/>
              </w:rPr>
            </w:pPr>
            <w:r>
              <w:rPr>
                <w:rFonts w:hint="eastAsia" w:cs="宋体"/>
                <w:szCs w:val="21"/>
                <w:vertAlign w:val="baseline"/>
                <w:lang w:val="en-US" w:eastAsia="zh-CN"/>
              </w:rPr>
              <w:t>南方泵业</w:t>
            </w:r>
          </w:p>
        </w:tc>
        <w:tc>
          <w:tcPr>
            <w:tcW w:w="1823"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cs="宋体"/>
                <w:szCs w:val="21"/>
                <w:vertAlign w:val="baseline"/>
                <w:lang w:val="en-US" w:eastAsia="zh-CN"/>
              </w:rPr>
            </w:pPr>
            <w:r>
              <w:rPr>
                <w:rFonts w:hint="eastAsia" w:cs="宋体"/>
                <w:szCs w:val="21"/>
                <w:vertAlign w:val="baseline"/>
                <w:lang w:val="en-US" w:eastAsia="zh-CN"/>
              </w:rPr>
              <w:t>唯一品牌投标，与污泥车间保持一致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105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cs="宋体"/>
                <w:szCs w:val="21"/>
                <w:vertAlign w:val="baseline"/>
                <w:lang w:val="en-US" w:eastAsia="zh-CN"/>
              </w:rPr>
            </w:pPr>
            <w:r>
              <w:rPr>
                <w:rFonts w:hint="eastAsia" w:cs="宋体"/>
                <w:szCs w:val="21"/>
                <w:vertAlign w:val="baseline"/>
                <w:lang w:val="en-US" w:eastAsia="zh-CN"/>
              </w:rPr>
              <w:t>2</w:t>
            </w:r>
          </w:p>
        </w:tc>
        <w:tc>
          <w:tcPr>
            <w:tcW w:w="2594"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cs="宋体"/>
                <w:szCs w:val="21"/>
                <w:vertAlign w:val="baseline"/>
                <w:lang w:val="en-US" w:eastAsia="zh-CN"/>
              </w:rPr>
            </w:pPr>
            <w:r>
              <w:rPr>
                <w:rFonts w:hint="eastAsia" w:cs="宋体"/>
                <w:szCs w:val="21"/>
                <w:vertAlign w:val="baseline"/>
                <w:lang w:val="en-US" w:eastAsia="zh-CN"/>
              </w:rPr>
              <w:t>阀门</w:t>
            </w:r>
          </w:p>
        </w:tc>
        <w:tc>
          <w:tcPr>
            <w:tcW w:w="3054"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cs="宋体"/>
                <w:szCs w:val="21"/>
                <w:vertAlign w:val="baseline"/>
                <w:lang w:val="en-US" w:eastAsia="zh-CN"/>
              </w:rPr>
            </w:pPr>
            <w:r>
              <w:rPr>
                <w:rFonts w:hint="eastAsia" w:cs="宋体"/>
                <w:szCs w:val="21"/>
                <w:vertAlign w:val="baseline"/>
                <w:lang w:val="en-US" w:eastAsia="zh-CN"/>
              </w:rPr>
              <w:t>安徽铜都</w:t>
            </w:r>
          </w:p>
        </w:tc>
        <w:tc>
          <w:tcPr>
            <w:tcW w:w="1823"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cs="宋体"/>
                <w:szCs w:val="21"/>
                <w:vertAlign w:val="baseline"/>
                <w:lang w:val="en-US" w:eastAsia="zh-CN"/>
              </w:rPr>
            </w:pPr>
            <w:r>
              <w:rPr>
                <w:rFonts w:hint="eastAsia" w:cs="宋体"/>
                <w:szCs w:val="21"/>
                <w:vertAlign w:val="baseline"/>
                <w:lang w:val="en-US" w:eastAsia="zh-CN"/>
              </w:rPr>
              <w:t>唯一品牌投标，与污泥车间保持一致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105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cs="宋体"/>
                <w:szCs w:val="21"/>
                <w:vertAlign w:val="baseline"/>
                <w:lang w:val="en-US" w:eastAsia="zh-CN"/>
              </w:rPr>
            </w:pPr>
            <w:r>
              <w:rPr>
                <w:rFonts w:hint="eastAsia" w:cs="宋体"/>
                <w:szCs w:val="21"/>
                <w:vertAlign w:val="baseline"/>
                <w:lang w:val="en-US" w:eastAsia="zh-CN"/>
              </w:rPr>
              <w:t>3</w:t>
            </w:r>
          </w:p>
        </w:tc>
        <w:tc>
          <w:tcPr>
            <w:tcW w:w="2594"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cs="宋体"/>
                <w:szCs w:val="21"/>
                <w:vertAlign w:val="baseline"/>
                <w:lang w:val="en-US" w:eastAsia="zh-CN"/>
              </w:rPr>
            </w:pPr>
            <w:r>
              <w:rPr>
                <w:rFonts w:hint="eastAsia" w:cs="宋体"/>
                <w:szCs w:val="21"/>
                <w:vertAlign w:val="baseline"/>
                <w:lang w:val="en-US" w:eastAsia="zh-CN"/>
              </w:rPr>
              <w:t>电控柜</w:t>
            </w:r>
          </w:p>
        </w:tc>
        <w:tc>
          <w:tcPr>
            <w:tcW w:w="3054"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cs="宋体"/>
                <w:szCs w:val="21"/>
                <w:vertAlign w:val="baseline"/>
                <w:lang w:val="en-US" w:eastAsia="zh-CN"/>
              </w:rPr>
            </w:pPr>
            <w:r>
              <w:rPr>
                <w:rFonts w:hint="eastAsia" w:cs="宋体"/>
                <w:szCs w:val="21"/>
                <w:vertAlign w:val="baseline"/>
                <w:lang w:val="en-US" w:eastAsia="zh-CN"/>
              </w:rPr>
              <w:t>PLC西门子，元器件</w:t>
            </w:r>
            <w:r>
              <w:rPr>
                <w:rFonts w:ascii="宋体" w:hAnsi="宋体" w:eastAsia="宋体" w:cs="Times New Roman"/>
                <w:bCs/>
                <w:szCs w:val="21"/>
              </w:rPr>
              <w:t>施耐德、ABB、西门子或同档次品牌产品</w:t>
            </w:r>
          </w:p>
        </w:tc>
        <w:tc>
          <w:tcPr>
            <w:tcW w:w="1823"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cs="宋体"/>
                <w:szCs w:val="21"/>
                <w:vertAlign w:val="baseline"/>
                <w:lang w:val="en-US" w:eastAsia="zh-CN"/>
              </w:rPr>
            </w:pPr>
            <w:r>
              <w:rPr>
                <w:rFonts w:hint="eastAsia" w:cs="宋体"/>
                <w:szCs w:val="21"/>
                <w:vertAlign w:val="baseline"/>
                <w:lang w:val="en-US" w:eastAsia="zh-CN"/>
              </w:rPr>
              <w:t>单一品牌投标，与污泥车间保持一致</w:t>
            </w:r>
          </w:p>
        </w:tc>
      </w:tr>
    </w:tbl>
    <w:p>
      <w:pPr>
        <w:adjustRightInd w:val="0"/>
        <w:snapToGrid w:val="0"/>
        <w:spacing w:line="360" w:lineRule="auto"/>
        <w:rPr>
          <w:rFonts w:hint="default" w:cs="宋体"/>
          <w:szCs w:val="21"/>
          <w:lang w:val="en-US" w:eastAsia="zh-CN"/>
        </w:rPr>
      </w:pPr>
    </w:p>
    <w:p>
      <w:pPr>
        <w:adjustRightInd w:val="0"/>
        <w:snapToGrid w:val="0"/>
        <w:spacing w:line="360" w:lineRule="auto"/>
        <w:rPr>
          <w:rFonts w:hint="eastAsia" w:ascii="宋体" w:hAnsi="宋体" w:eastAsia="宋体" w:cs="宋体"/>
          <w:szCs w:val="21"/>
        </w:rPr>
      </w:pPr>
      <w:r>
        <w:rPr>
          <w:rFonts w:hint="eastAsia" w:ascii="宋体" w:hAnsi="宋体" w:eastAsia="宋体" w:cs="宋体"/>
          <w:szCs w:val="21"/>
        </w:rPr>
        <w:t>备注：</w:t>
      </w:r>
    </w:p>
    <w:p>
      <w:pPr>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1.包含但不限于以下所有成本：货物的加工制造、深化设计（提供设备安装条件图）、设计联络、生产监造(本项目建设单位、监理单位、总包单位及甲方监造人员的交通、食宿等费用由乙方承担)、制造、工厂检验和试验、出厂检验、包装、运输、现场指导安装、调试、配合试运行、培训、质保期、缺陷责任期的服务等全过程所产生的所有成本以及保险、管理费、利润、规费、税金、原材料价格变动及供货期变化等风险。</w:t>
      </w:r>
    </w:p>
    <w:p>
      <w:pPr>
        <w:numPr>
          <w:ilvl w:val="255"/>
          <w:numId w:val="0"/>
        </w:numPr>
        <w:spacing w:line="360" w:lineRule="auto"/>
        <w:ind w:firstLine="420" w:firstLineChars="200"/>
        <w:rPr>
          <w:rFonts w:hint="eastAsia" w:ascii="宋体" w:hAnsi="宋体" w:eastAsia="宋体" w:cs="宋体"/>
          <w:szCs w:val="21"/>
        </w:rPr>
      </w:pPr>
      <w:r>
        <w:rPr>
          <w:rFonts w:hint="eastAsia" w:ascii="宋体" w:hAnsi="宋体" w:eastAsia="宋体" w:cs="宋体"/>
          <w:szCs w:val="21"/>
        </w:rPr>
        <w:t>2.本清单不得被认为是详尽无遗的，无论规定与否，投标人应提供满足该项目工艺技术要求的设备及所有业主未提及的必要的元件、器材、附件、配套设备和相应材料等。设备具体数量、参数、尺寸参考图纸深化设计及招标文件清单，具体内容包括不限于《货物清单》所列设备数量、参数、尺寸，最终清单以满足采购人需求为准。</w:t>
      </w:r>
    </w:p>
    <w:p>
      <w:pPr>
        <w:numPr>
          <w:ilvl w:val="255"/>
          <w:numId w:val="0"/>
        </w:numPr>
        <w:spacing w:line="360" w:lineRule="auto"/>
        <w:ind w:firstLine="420" w:firstLineChars="200"/>
        <w:rPr>
          <w:rFonts w:hint="eastAsia" w:ascii="宋体" w:hAnsi="宋体" w:eastAsia="宋体" w:cs="宋体"/>
          <w:szCs w:val="21"/>
        </w:rPr>
      </w:pPr>
      <w:r>
        <w:rPr>
          <w:rFonts w:hint="eastAsia" w:ascii="宋体" w:hAnsi="宋体" w:eastAsia="宋体" w:cs="宋体"/>
          <w:szCs w:val="21"/>
        </w:rPr>
        <w:t>3.安装之前，投标人负责检查设备安装处的土建基础尺寸</w:t>
      </w:r>
      <w:bookmarkStart w:id="22" w:name="_GoBack"/>
      <w:bookmarkEnd w:id="22"/>
      <w:r>
        <w:rPr>
          <w:rFonts w:hint="eastAsia" w:ascii="宋体" w:hAnsi="宋体" w:eastAsia="宋体" w:cs="宋体"/>
          <w:szCs w:val="21"/>
        </w:rPr>
        <w:t>和预埋。对于不适于安装的土建条件，督促土建单位进行改正，并给予详细指导。</w:t>
      </w:r>
    </w:p>
    <w:p>
      <w:pPr>
        <w:numPr>
          <w:ilvl w:val="255"/>
          <w:numId w:val="0"/>
        </w:numPr>
        <w:spacing w:line="360" w:lineRule="auto"/>
        <w:ind w:firstLine="420" w:firstLineChars="200"/>
        <w:rPr>
          <w:rFonts w:hint="eastAsia" w:ascii="宋体" w:hAnsi="宋体" w:eastAsia="宋体" w:cs="宋体"/>
          <w:szCs w:val="21"/>
        </w:rPr>
      </w:pPr>
      <w:r>
        <w:rPr>
          <w:rFonts w:hint="eastAsia" w:ascii="宋体" w:hAnsi="宋体" w:eastAsia="宋体" w:cs="宋体"/>
          <w:szCs w:val="21"/>
        </w:rPr>
        <w:t>4.投标人应为主设备配套提供备品备件及专用工具，此设备的价格应含在相应主设备价格中，不可单独报价。</w:t>
      </w:r>
    </w:p>
    <w:p>
      <w:pPr>
        <w:numPr>
          <w:ilvl w:val="255"/>
          <w:numId w:val="0"/>
        </w:numPr>
        <w:spacing w:line="360" w:lineRule="auto"/>
        <w:ind w:firstLine="420" w:firstLineChars="200"/>
        <w:rPr>
          <w:rFonts w:hint="eastAsia" w:ascii="宋体" w:hAnsi="宋体" w:eastAsia="宋体" w:cs="宋体"/>
          <w:szCs w:val="21"/>
        </w:rPr>
      </w:pPr>
      <w:r>
        <w:rPr>
          <w:rFonts w:hint="eastAsia" w:ascii="宋体" w:hAnsi="宋体" w:eastAsia="宋体" w:cs="宋体"/>
          <w:szCs w:val="21"/>
        </w:rPr>
        <w:t>5.</w:t>
      </w:r>
      <w:r>
        <w:rPr>
          <w:rFonts w:hint="eastAsia" w:ascii="宋体" w:hAnsi="宋体" w:eastAsia="宋体" w:cs="宋体"/>
        </w:rPr>
        <w:t>投标人投标报价时需一并提交选型设备的图纸、参数说明、性能曲线等技术资料</w:t>
      </w:r>
      <w:r>
        <w:rPr>
          <w:rFonts w:hint="eastAsia" w:ascii="宋体" w:hAnsi="宋体" w:eastAsia="宋体" w:cs="宋体"/>
          <w:szCs w:val="21"/>
        </w:rPr>
        <w:t>。</w:t>
      </w:r>
    </w:p>
    <w:p>
      <w:pPr>
        <w:numPr>
          <w:ilvl w:val="255"/>
          <w:numId w:val="0"/>
        </w:numPr>
        <w:spacing w:line="360" w:lineRule="auto"/>
        <w:ind w:firstLine="420" w:firstLineChars="200"/>
        <w:rPr>
          <w:rFonts w:hint="eastAsia" w:ascii="宋体" w:hAnsi="宋体" w:eastAsia="宋体" w:cs="宋体"/>
          <w:szCs w:val="21"/>
        </w:rPr>
      </w:pPr>
      <w:r>
        <w:rPr>
          <w:rFonts w:hint="eastAsia" w:ascii="宋体" w:hAnsi="宋体" w:eastAsia="宋体" w:cs="宋体"/>
          <w:szCs w:val="21"/>
        </w:rPr>
        <w:t>6.标★为不可偏离条款，如出现负偏离，将被视为未实质性满足招标文件要求，作投标无效处理。标“▲”指标项为重要条款，负偏离时依相关项目需求由专家判定是否进行投标无效处理。</w:t>
      </w:r>
    </w:p>
    <w:p>
      <w:pPr>
        <w:numPr>
          <w:ilvl w:val="255"/>
          <w:numId w:val="0"/>
        </w:numPr>
        <w:spacing w:line="360" w:lineRule="auto"/>
        <w:ind w:firstLine="420" w:firstLineChars="200"/>
        <w:rPr>
          <w:rFonts w:hint="eastAsia" w:ascii="宋体" w:hAnsi="宋体" w:eastAsia="宋体" w:cs="宋体"/>
          <w:szCs w:val="21"/>
        </w:rPr>
      </w:pPr>
      <w:r>
        <w:rPr>
          <w:rFonts w:hint="eastAsia" w:ascii="宋体" w:hAnsi="宋体" w:eastAsia="宋体" w:cs="宋体"/>
          <w:szCs w:val="21"/>
        </w:rPr>
        <w:t>除带★的条款外，各投标人可以根据自身产品特点进行优化，但必须满足本项目功能性要求。</w:t>
      </w:r>
    </w:p>
    <w:p>
      <w:pPr>
        <w:pStyle w:val="38"/>
        <w:numPr>
          <w:ilvl w:val="0"/>
          <w:numId w:val="6"/>
        </w:numPr>
        <w:spacing w:line="360" w:lineRule="auto"/>
        <w:outlineLvl w:val="0"/>
        <w:rPr>
          <w:rFonts w:hint="eastAsia" w:ascii="宋体" w:hAnsi="宋体" w:eastAsia="宋体" w:cs="宋体"/>
          <w:b/>
          <w:bCs/>
          <w:szCs w:val="21"/>
        </w:rPr>
      </w:pPr>
      <w:r>
        <w:rPr>
          <w:rFonts w:hint="eastAsia" w:ascii="宋体" w:hAnsi="宋体" w:eastAsia="宋体" w:cs="宋体"/>
          <w:b/>
          <w:szCs w:val="21"/>
        </w:rPr>
        <w:t>技术参数</w:t>
      </w:r>
      <w:r>
        <w:rPr>
          <w:rFonts w:hint="eastAsia" w:ascii="宋体" w:hAnsi="宋体" w:eastAsia="宋体" w:cs="宋体"/>
          <w:b/>
          <w:bCs/>
          <w:szCs w:val="21"/>
        </w:rPr>
        <w:t>要求</w:t>
      </w:r>
    </w:p>
    <w:p>
      <w:pPr>
        <w:pStyle w:val="38"/>
        <w:numPr>
          <w:ilvl w:val="0"/>
          <w:numId w:val="7"/>
        </w:numPr>
        <w:spacing w:line="360" w:lineRule="auto"/>
        <w:ind w:firstLine="422" w:firstLineChars="200"/>
        <w:outlineLvl w:val="1"/>
        <w:rPr>
          <w:rFonts w:hint="eastAsia" w:ascii="宋体" w:hAnsi="宋体" w:eastAsia="宋体" w:cs="宋体"/>
          <w:b/>
          <w:szCs w:val="21"/>
        </w:rPr>
      </w:pPr>
      <w:r>
        <w:rPr>
          <w:rFonts w:hint="eastAsia" w:ascii="宋体" w:hAnsi="宋体" w:eastAsia="宋体" w:cs="宋体"/>
          <w:b/>
          <w:szCs w:val="21"/>
        </w:rPr>
        <w:t>PAC卸药泵（离心泵）</w:t>
      </w:r>
    </w:p>
    <w:p>
      <w:pPr>
        <w:autoSpaceDE w:val="0"/>
        <w:autoSpaceDN w:val="0"/>
        <w:adjustRightInd w:val="0"/>
        <w:snapToGrid w:val="0"/>
        <w:spacing w:line="360" w:lineRule="auto"/>
        <w:ind w:firstLine="619" w:firstLineChars="295"/>
        <w:rPr>
          <w:rFonts w:hint="eastAsia" w:ascii="宋体" w:hAnsi="宋体" w:eastAsia="宋体" w:cs="宋体"/>
          <w:szCs w:val="21"/>
        </w:rPr>
      </w:pPr>
      <w:bookmarkStart w:id="1" w:name="_Toc1399"/>
      <w:r>
        <w:rPr>
          <w:rFonts w:hint="eastAsia" w:ascii="宋体" w:hAnsi="宋体" w:eastAsia="宋体" w:cs="宋体"/>
          <w:szCs w:val="21"/>
        </w:rPr>
        <w:t>耐酸碱离心泵，配套变频电机。</w:t>
      </w:r>
    </w:p>
    <w:p>
      <w:pPr>
        <w:numPr>
          <w:ilvl w:val="0"/>
          <w:numId w:val="8"/>
        </w:numPr>
        <w:spacing w:line="360" w:lineRule="auto"/>
        <w:ind w:firstLine="480"/>
        <w:rPr>
          <w:rFonts w:hint="eastAsia" w:ascii="宋体" w:hAnsi="宋体" w:eastAsia="宋体" w:cs="宋体"/>
          <w:szCs w:val="21"/>
        </w:rPr>
      </w:pPr>
      <w:r>
        <w:rPr>
          <w:rFonts w:hint="eastAsia" w:ascii="宋体" w:hAnsi="宋体" w:eastAsia="宋体" w:cs="宋体"/>
          <w:szCs w:val="21"/>
        </w:rPr>
        <w:t>数量：</w:t>
      </w:r>
      <w:r>
        <w:rPr>
          <w:rFonts w:hint="eastAsia" w:cs="宋体"/>
          <w:szCs w:val="21"/>
          <w:lang w:val="en-US" w:eastAsia="zh-CN"/>
        </w:rPr>
        <w:t>2</w:t>
      </w:r>
      <w:r>
        <w:rPr>
          <w:rFonts w:hint="eastAsia" w:ascii="宋体" w:hAnsi="宋体" w:eastAsia="宋体" w:cs="宋体"/>
          <w:szCs w:val="21"/>
        </w:rPr>
        <w:t>台</w:t>
      </w:r>
    </w:p>
    <w:p>
      <w:pPr>
        <w:numPr>
          <w:ilvl w:val="0"/>
          <w:numId w:val="8"/>
        </w:numPr>
        <w:spacing w:line="360" w:lineRule="auto"/>
        <w:ind w:firstLine="480"/>
        <w:rPr>
          <w:rFonts w:hint="eastAsia" w:ascii="宋体" w:hAnsi="宋体" w:eastAsia="宋体" w:cs="宋体"/>
          <w:szCs w:val="21"/>
        </w:rPr>
      </w:pPr>
      <w:r>
        <w:rPr>
          <w:rFonts w:hint="eastAsia" w:ascii="宋体" w:hAnsi="宋体" w:eastAsia="宋体" w:cs="宋体"/>
          <w:szCs w:val="21"/>
        </w:rPr>
        <w:t>流量：</w:t>
      </w:r>
      <w:r>
        <w:rPr>
          <w:rFonts w:hint="eastAsia" w:ascii="宋体" w:hAnsi="宋体" w:eastAsia="宋体" w:cs="宋体"/>
          <w:szCs w:val="21"/>
          <w:lang w:val="en-US" w:eastAsia="zh-CN"/>
        </w:rPr>
        <w:t>30</w:t>
      </w:r>
      <w:r>
        <w:rPr>
          <w:rFonts w:hint="eastAsia" w:ascii="宋体" w:hAnsi="宋体" w:eastAsia="宋体" w:cs="宋体"/>
          <w:szCs w:val="21"/>
        </w:rPr>
        <w:t>m³/h</w:t>
      </w:r>
    </w:p>
    <w:p>
      <w:pPr>
        <w:numPr>
          <w:ilvl w:val="0"/>
          <w:numId w:val="8"/>
        </w:numPr>
        <w:spacing w:line="360" w:lineRule="auto"/>
        <w:ind w:firstLine="480"/>
        <w:rPr>
          <w:rFonts w:hint="eastAsia" w:ascii="宋体" w:hAnsi="宋体" w:eastAsia="宋体" w:cs="宋体"/>
          <w:szCs w:val="21"/>
        </w:rPr>
      </w:pPr>
      <w:r>
        <w:rPr>
          <w:rFonts w:hint="eastAsia" w:ascii="宋体" w:hAnsi="宋体" w:eastAsia="宋体" w:cs="宋体"/>
          <w:szCs w:val="21"/>
        </w:rPr>
        <w:t>扬程：</w:t>
      </w:r>
      <w:r>
        <w:rPr>
          <w:rFonts w:hint="eastAsia" w:ascii="宋体" w:hAnsi="宋体" w:eastAsia="宋体" w:cs="宋体"/>
          <w:szCs w:val="21"/>
          <w:lang w:val="en-US" w:eastAsia="zh-CN"/>
        </w:rPr>
        <w:t>10</w:t>
      </w:r>
      <w:r>
        <w:rPr>
          <w:rFonts w:hint="eastAsia" w:ascii="宋体" w:hAnsi="宋体" w:eastAsia="宋体" w:cs="宋体"/>
          <w:szCs w:val="21"/>
        </w:rPr>
        <w:t>m</w:t>
      </w:r>
    </w:p>
    <w:p>
      <w:pPr>
        <w:numPr>
          <w:ilvl w:val="0"/>
          <w:numId w:val="8"/>
        </w:numPr>
        <w:spacing w:line="360" w:lineRule="auto"/>
        <w:ind w:firstLine="480"/>
        <w:rPr>
          <w:rFonts w:hint="eastAsia" w:ascii="宋体" w:hAnsi="宋体" w:eastAsia="宋体" w:cs="宋体"/>
          <w:szCs w:val="21"/>
        </w:rPr>
      </w:pPr>
      <w:r>
        <w:rPr>
          <w:rFonts w:hint="eastAsia" w:ascii="宋体" w:hAnsi="宋体" w:eastAsia="宋体" w:cs="宋体"/>
          <w:szCs w:val="21"/>
        </w:rPr>
        <w:t>功率：</w:t>
      </w:r>
      <w:r>
        <w:rPr>
          <w:rFonts w:hint="eastAsia" w:ascii="宋体" w:hAnsi="宋体" w:eastAsia="宋体" w:cs="宋体"/>
          <w:szCs w:val="21"/>
          <w:lang w:val="en-US" w:eastAsia="zh-CN"/>
        </w:rPr>
        <w:t>3</w:t>
      </w:r>
      <w:r>
        <w:rPr>
          <w:rFonts w:hint="eastAsia" w:ascii="宋体" w:hAnsi="宋体" w:eastAsia="宋体" w:cs="宋体"/>
          <w:szCs w:val="21"/>
        </w:rPr>
        <w:t>kW</w:t>
      </w:r>
    </w:p>
    <w:p>
      <w:pPr>
        <w:numPr>
          <w:ilvl w:val="0"/>
          <w:numId w:val="8"/>
        </w:numPr>
        <w:spacing w:line="360" w:lineRule="auto"/>
        <w:ind w:firstLine="480"/>
        <w:rPr>
          <w:rFonts w:hint="eastAsia" w:ascii="宋体" w:hAnsi="宋体" w:eastAsia="宋体" w:cs="宋体"/>
          <w:szCs w:val="21"/>
        </w:rPr>
      </w:pPr>
      <w:r>
        <w:rPr>
          <w:rFonts w:hint="eastAsia" w:ascii="宋体" w:hAnsi="宋体" w:eastAsia="宋体" w:cs="宋体"/>
          <w:szCs w:val="21"/>
        </w:rPr>
        <w:t>泵壳：FRPP材质</w:t>
      </w:r>
    </w:p>
    <w:p>
      <w:pPr>
        <w:numPr>
          <w:ilvl w:val="0"/>
          <w:numId w:val="8"/>
        </w:numPr>
        <w:spacing w:line="360" w:lineRule="auto"/>
        <w:ind w:firstLine="480"/>
        <w:rPr>
          <w:rFonts w:hint="eastAsia" w:ascii="宋体" w:hAnsi="宋体" w:eastAsia="宋体" w:cs="宋体"/>
          <w:szCs w:val="21"/>
        </w:rPr>
      </w:pPr>
      <w:r>
        <w:rPr>
          <w:rFonts w:hint="eastAsia" w:ascii="宋体" w:hAnsi="宋体" w:eastAsia="宋体" w:cs="宋体"/>
          <w:szCs w:val="21"/>
        </w:rPr>
        <w:t>叶轮：FRPP材质</w:t>
      </w:r>
    </w:p>
    <w:p>
      <w:pPr>
        <w:numPr>
          <w:ilvl w:val="0"/>
          <w:numId w:val="8"/>
        </w:numPr>
        <w:spacing w:line="360" w:lineRule="auto"/>
        <w:ind w:firstLine="480"/>
        <w:rPr>
          <w:rFonts w:hint="eastAsia" w:ascii="宋体" w:hAnsi="宋体" w:eastAsia="宋体" w:cs="宋体"/>
          <w:szCs w:val="21"/>
        </w:rPr>
      </w:pPr>
      <w:r>
        <w:rPr>
          <w:rFonts w:hint="eastAsia" w:ascii="宋体" w:hAnsi="宋体" w:eastAsia="宋体" w:cs="宋体"/>
          <w:szCs w:val="21"/>
        </w:rPr>
        <w:t>泵轴：304不锈钢</w:t>
      </w:r>
    </w:p>
    <w:p>
      <w:pPr>
        <w:numPr>
          <w:ilvl w:val="0"/>
          <w:numId w:val="8"/>
        </w:numPr>
        <w:spacing w:line="360" w:lineRule="auto"/>
        <w:ind w:firstLine="480"/>
        <w:rPr>
          <w:rFonts w:hint="eastAsia" w:ascii="宋体" w:hAnsi="宋体" w:eastAsia="宋体" w:cs="宋体"/>
          <w:szCs w:val="21"/>
        </w:rPr>
      </w:pPr>
      <w:r>
        <w:rPr>
          <w:rFonts w:hint="eastAsia" w:ascii="宋体" w:hAnsi="宋体" w:eastAsia="宋体" w:cs="宋体"/>
          <w:szCs w:val="21"/>
        </w:rPr>
        <w:t>防护等级：IP65</w:t>
      </w:r>
    </w:p>
    <w:p>
      <w:pPr>
        <w:numPr>
          <w:ilvl w:val="0"/>
          <w:numId w:val="8"/>
        </w:numPr>
        <w:spacing w:line="360" w:lineRule="auto"/>
        <w:ind w:firstLine="480"/>
        <w:rPr>
          <w:rFonts w:hint="eastAsia" w:ascii="宋体" w:hAnsi="宋体" w:eastAsia="宋体" w:cs="宋体"/>
          <w:szCs w:val="21"/>
        </w:rPr>
      </w:pPr>
      <w:r>
        <w:rPr>
          <w:rFonts w:hint="eastAsia" w:ascii="宋体" w:hAnsi="宋体" w:eastAsia="宋体" w:cs="宋体"/>
          <w:szCs w:val="21"/>
        </w:rPr>
        <w:t>绝缘等级：F</w:t>
      </w:r>
    </w:p>
    <w:p>
      <w:pPr>
        <w:numPr>
          <w:ilvl w:val="0"/>
          <w:numId w:val="8"/>
        </w:numPr>
        <w:spacing w:line="360" w:lineRule="auto"/>
        <w:ind w:firstLine="480"/>
        <w:rPr>
          <w:rFonts w:hint="eastAsia" w:ascii="宋体" w:hAnsi="宋体" w:eastAsia="宋体" w:cs="宋体"/>
          <w:szCs w:val="21"/>
        </w:rPr>
      </w:pPr>
      <w:r>
        <w:rPr>
          <w:rFonts w:hint="eastAsia" w:ascii="宋体" w:hAnsi="宋体" w:eastAsia="宋体" w:cs="宋体"/>
          <w:szCs w:val="21"/>
        </w:rPr>
        <w:t>紧固件、地脚螺栓：304不锈钢</w:t>
      </w:r>
    </w:p>
    <w:p>
      <w:pPr>
        <w:pStyle w:val="38"/>
        <w:numPr>
          <w:ilvl w:val="0"/>
          <w:numId w:val="9"/>
        </w:numPr>
        <w:autoSpaceDE w:val="0"/>
        <w:autoSpaceDN w:val="0"/>
        <w:adjustRightInd w:val="0"/>
        <w:snapToGrid w:val="0"/>
        <w:spacing w:line="360" w:lineRule="auto"/>
        <w:ind w:firstLine="422" w:firstLineChars="200"/>
        <w:outlineLvl w:val="1"/>
        <w:rPr>
          <w:rFonts w:hint="eastAsia" w:ascii="宋体" w:hAnsi="宋体" w:eastAsia="宋体" w:cs="宋体"/>
          <w:b/>
          <w:bCs/>
          <w:szCs w:val="21"/>
        </w:rPr>
      </w:pPr>
      <w:r>
        <w:rPr>
          <w:rFonts w:hint="eastAsia" w:ascii="宋体" w:hAnsi="宋体" w:eastAsia="宋体" w:cs="宋体"/>
          <w:b/>
          <w:bCs/>
          <w:szCs w:val="21"/>
        </w:rPr>
        <w:t>压榨回流泵</w:t>
      </w:r>
      <w:bookmarkEnd w:id="1"/>
    </w:p>
    <w:p>
      <w:pPr>
        <w:spacing w:line="360" w:lineRule="auto"/>
        <w:ind w:firstLine="480"/>
        <w:rPr>
          <w:rFonts w:hint="eastAsia" w:ascii="宋体" w:hAnsi="宋体" w:eastAsia="宋体" w:cs="宋体"/>
          <w:szCs w:val="21"/>
          <w:lang w:eastAsia="zh-CN"/>
        </w:rPr>
      </w:pPr>
      <w:r>
        <w:rPr>
          <w:rFonts w:hint="eastAsia" w:cs="宋体"/>
          <w:szCs w:val="21"/>
          <w:lang w:val="en-US" w:eastAsia="zh-CN"/>
        </w:rPr>
        <w:t>立式离心泵</w:t>
      </w:r>
    </w:p>
    <w:p>
      <w:pPr>
        <w:numPr>
          <w:ilvl w:val="0"/>
          <w:numId w:val="10"/>
        </w:numPr>
        <w:spacing w:line="360" w:lineRule="auto"/>
        <w:ind w:firstLine="480"/>
        <w:rPr>
          <w:rFonts w:hint="eastAsia" w:cs="宋体"/>
          <w:szCs w:val="21"/>
          <w:lang w:val="en-US" w:eastAsia="zh-CN"/>
        </w:rPr>
      </w:pPr>
      <w:r>
        <w:rPr>
          <w:rFonts w:hint="eastAsia" w:ascii="宋体" w:hAnsi="宋体" w:eastAsia="宋体" w:cs="宋体"/>
          <w:szCs w:val="21"/>
        </w:rPr>
        <w:t>输送介质：</w:t>
      </w:r>
      <w:r>
        <w:rPr>
          <w:rFonts w:hint="eastAsia" w:cs="宋体"/>
          <w:szCs w:val="21"/>
          <w:lang w:val="en-US" w:eastAsia="zh-CN"/>
        </w:rPr>
        <w:t>自来水/中水</w:t>
      </w:r>
    </w:p>
    <w:p>
      <w:pPr>
        <w:numPr>
          <w:ilvl w:val="0"/>
          <w:numId w:val="10"/>
        </w:numPr>
        <w:spacing w:line="360" w:lineRule="auto"/>
        <w:ind w:firstLine="480"/>
        <w:rPr>
          <w:rFonts w:hint="eastAsia" w:ascii="宋体" w:hAnsi="宋体" w:eastAsia="宋体" w:cs="宋体"/>
          <w:szCs w:val="21"/>
        </w:rPr>
      </w:pPr>
      <w:r>
        <w:rPr>
          <w:rFonts w:hint="eastAsia" w:cs="宋体"/>
          <w:szCs w:val="21"/>
          <w:lang w:val="en-US" w:eastAsia="zh-CN"/>
        </w:rPr>
        <w:t>.</w:t>
      </w:r>
      <w:r>
        <w:rPr>
          <w:rFonts w:hint="eastAsia" w:ascii="宋体" w:hAnsi="宋体" w:eastAsia="宋体" w:cs="宋体"/>
          <w:szCs w:val="21"/>
        </w:rPr>
        <w:t>数量：</w:t>
      </w:r>
      <w:r>
        <w:rPr>
          <w:rFonts w:hint="eastAsia" w:cs="宋体"/>
          <w:szCs w:val="21"/>
          <w:lang w:val="en-US" w:eastAsia="zh-CN"/>
        </w:rPr>
        <w:t>2</w:t>
      </w:r>
    </w:p>
    <w:p>
      <w:pPr>
        <w:numPr>
          <w:ilvl w:val="0"/>
          <w:numId w:val="10"/>
        </w:numPr>
        <w:spacing w:line="360" w:lineRule="auto"/>
        <w:ind w:firstLine="480"/>
        <w:rPr>
          <w:rFonts w:hint="eastAsia" w:ascii="宋体" w:hAnsi="宋体" w:eastAsia="宋体" w:cs="宋体"/>
          <w:szCs w:val="21"/>
        </w:rPr>
      </w:pPr>
      <w:r>
        <w:rPr>
          <w:rFonts w:hint="eastAsia" w:ascii="宋体" w:hAnsi="宋体" w:eastAsia="宋体" w:cs="宋体"/>
          <w:szCs w:val="21"/>
        </w:rPr>
        <w:t>流量：</w:t>
      </w:r>
      <w:r>
        <w:rPr>
          <w:rFonts w:hint="eastAsia" w:cs="宋体"/>
          <w:szCs w:val="21"/>
          <w:lang w:val="en-US" w:eastAsia="zh-CN"/>
        </w:rPr>
        <w:t>2</w:t>
      </w:r>
      <w:r>
        <w:rPr>
          <w:rFonts w:hint="eastAsia" w:ascii="宋体" w:hAnsi="宋体" w:eastAsia="宋体" w:cs="宋体"/>
          <w:szCs w:val="21"/>
        </w:rPr>
        <w:t>0m³/h</w:t>
      </w:r>
    </w:p>
    <w:p>
      <w:pPr>
        <w:numPr>
          <w:ilvl w:val="0"/>
          <w:numId w:val="10"/>
        </w:numPr>
        <w:spacing w:line="360" w:lineRule="auto"/>
        <w:ind w:firstLine="480"/>
        <w:rPr>
          <w:rFonts w:hint="eastAsia" w:ascii="宋体" w:hAnsi="宋体" w:eastAsia="宋体" w:cs="宋体"/>
          <w:szCs w:val="21"/>
        </w:rPr>
      </w:pPr>
      <w:r>
        <w:rPr>
          <w:rFonts w:hint="eastAsia" w:ascii="宋体" w:hAnsi="宋体" w:eastAsia="宋体" w:cs="宋体"/>
          <w:szCs w:val="21"/>
        </w:rPr>
        <w:t>扬程：1</w:t>
      </w:r>
      <w:r>
        <w:rPr>
          <w:rFonts w:hint="eastAsia" w:cs="宋体"/>
          <w:szCs w:val="21"/>
          <w:lang w:val="en-US" w:eastAsia="zh-CN"/>
        </w:rPr>
        <w:t>0</w:t>
      </w:r>
      <w:r>
        <w:rPr>
          <w:rFonts w:hint="eastAsia" w:ascii="宋体" w:hAnsi="宋体" w:eastAsia="宋体" w:cs="宋体"/>
          <w:szCs w:val="21"/>
        </w:rPr>
        <w:t>m</w:t>
      </w:r>
    </w:p>
    <w:p>
      <w:pPr>
        <w:numPr>
          <w:ilvl w:val="0"/>
          <w:numId w:val="10"/>
        </w:numPr>
        <w:spacing w:line="360" w:lineRule="auto"/>
        <w:ind w:firstLine="480"/>
        <w:rPr>
          <w:rFonts w:hint="eastAsia" w:ascii="宋体" w:hAnsi="宋体" w:eastAsia="宋体" w:cs="宋体"/>
          <w:szCs w:val="21"/>
        </w:rPr>
      </w:pPr>
      <w:r>
        <w:rPr>
          <w:rFonts w:hint="eastAsia" w:ascii="宋体" w:hAnsi="宋体" w:eastAsia="宋体" w:cs="宋体"/>
          <w:szCs w:val="21"/>
        </w:rPr>
        <w:t>功率：1</w:t>
      </w:r>
      <w:r>
        <w:rPr>
          <w:rFonts w:hint="eastAsia" w:cs="宋体"/>
          <w:szCs w:val="21"/>
          <w:lang w:val="en-US" w:eastAsia="zh-CN"/>
        </w:rPr>
        <w:t>.5</w:t>
      </w:r>
      <w:r>
        <w:rPr>
          <w:rFonts w:hint="eastAsia" w:ascii="宋体" w:hAnsi="宋体" w:eastAsia="宋体" w:cs="宋体"/>
          <w:szCs w:val="21"/>
        </w:rPr>
        <w:t>kW</w:t>
      </w:r>
    </w:p>
    <w:p>
      <w:pPr>
        <w:numPr>
          <w:ilvl w:val="0"/>
          <w:numId w:val="10"/>
        </w:numPr>
        <w:spacing w:line="360" w:lineRule="auto"/>
        <w:ind w:firstLine="480"/>
        <w:rPr>
          <w:rFonts w:hint="eastAsia" w:ascii="宋体" w:hAnsi="宋体" w:eastAsia="宋体" w:cs="宋体"/>
          <w:szCs w:val="21"/>
        </w:rPr>
      </w:pPr>
      <w:r>
        <w:rPr>
          <w:rFonts w:hint="eastAsia" w:ascii="宋体" w:hAnsi="宋体" w:eastAsia="宋体" w:cs="宋体"/>
          <w:szCs w:val="21"/>
        </w:rPr>
        <w:t>叶轮材质：304不锈钢</w:t>
      </w:r>
    </w:p>
    <w:p>
      <w:pPr>
        <w:numPr>
          <w:ilvl w:val="0"/>
          <w:numId w:val="10"/>
        </w:numPr>
        <w:spacing w:line="360" w:lineRule="auto"/>
        <w:ind w:firstLine="480"/>
        <w:rPr>
          <w:rFonts w:hint="eastAsia" w:ascii="宋体" w:hAnsi="宋体" w:eastAsia="宋体" w:cs="宋体"/>
          <w:szCs w:val="21"/>
        </w:rPr>
      </w:pPr>
      <w:r>
        <w:rPr>
          <w:rFonts w:hint="eastAsia" w:ascii="宋体" w:hAnsi="宋体" w:eastAsia="宋体" w:cs="宋体"/>
          <w:szCs w:val="21"/>
        </w:rPr>
        <w:t>泵壳材质：</w:t>
      </w:r>
      <w:r>
        <w:rPr>
          <w:rFonts w:hint="eastAsia" w:ascii="宋体" w:hAnsi="宋体" w:eastAsia="宋体" w:cs="宋体"/>
          <w:szCs w:val="21"/>
          <w:lang w:val="zh-CN"/>
        </w:rPr>
        <w:t>铸铁、球墨铸铁或低合金钢</w:t>
      </w:r>
    </w:p>
    <w:p>
      <w:pPr>
        <w:numPr>
          <w:ilvl w:val="0"/>
          <w:numId w:val="10"/>
        </w:numPr>
        <w:spacing w:line="360" w:lineRule="auto"/>
        <w:ind w:firstLine="480"/>
        <w:rPr>
          <w:rFonts w:hint="eastAsia" w:ascii="宋体" w:hAnsi="宋体" w:eastAsia="宋体" w:cs="宋体"/>
          <w:szCs w:val="21"/>
        </w:rPr>
      </w:pPr>
      <w:r>
        <w:rPr>
          <w:rFonts w:hint="eastAsia" w:ascii="宋体" w:hAnsi="宋体" w:eastAsia="宋体" w:cs="宋体"/>
          <w:szCs w:val="21"/>
        </w:rPr>
        <w:t>安装紧固件：304不锈钢</w:t>
      </w:r>
    </w:p>
    <w:p>
      <w:pPr>
        <w:numPr>
          <w:ilvl w:val="0"/>
          <w:numId w:val="10"/>
        </w:numPr>
        <w:spacing w:line="360" w:lineRule="auto"/>
        <w:ind w:firstLine="480"/>
        <w:rPr>
          <w:rFonts w:hint="eastAsia" w:ascii="宋体" w:hAnsi="宋体" w:eastAsia="宋体" w:cs="宋体"/>
          <w:szCs w:val="21"/>
        </w:rPr>
      </w:pPr>
      <w:r>
        <w:rPr>
          <w:rFonts w:hint="eastAsia" w:ascii="宋体" w:hAnsi="宋体" w:eastAsia="宋体" w:cs="宋体"/>
          <w:szCs w:val="21"/>
        </w:rPr>
        <w:t>安装形式：</w:t>
      </w:r>
      <w:r>
        <w:rPr>
          <w:rFonts w:hint="eastAsia" w:cs="宋体"/>
          <w:szCs w:val="21"/>
          <w:lang w:val="en-US" w:eastAsia="zh-CN"/>
        </w:rPr>
        <w:t>干</w:t>
      </w:r>
      <w:r>
        <w:rPr>
          <w:rFonts w:hint="eastAsia" w:ascii="宋体" w:hAnsi="宋体" w:eastAsia="宋体" w:cs="宋体"/>
          <w:szCs w:val="21"/>
        </w:rPr>
        <w:t>式安装</w:t>
      </w:r>
    </w:p>
    <w:p>
      <w:pPr>
        <w:pStyle w:val="38"/>
        <w:numPr>
          <w:ilvl w:val="0"/>
          <w:numId w:val="9"/>
        </w:numPr>
        <w:autoSpaceDE w:val="0"/>
        <w:autoSpaceDN w:val="0"/>
        <w:adjustRightInd w:val="0"/>
        <w:snapToGrid w:val="0"/>
        <w:spacing w:line="360" w:lineRule="auto"/>
        <w:ind w:firstLine="422" w:firstLineChars="200"/>
        <w:outlineLvl w:val="1"/>
        <w:rPr>
          <w:rFonts w:hint="eastAsia" w:ascii="宋体" w:hAnsi="宋体" w:eastAsia="宋体" w:cs="宋体"/>
          <w:b/>
          <w:bCs/>
          <w:szCs w:val="21"/>
        </w:rPr>
      </w:pPr>
      <w:r>
        <w:rPr>
          <w:rFonts w:hint="eastAsia" w:cs="宋体"/>
          <w:b/>
          <w:bCs/>
          <w:szCs w:val="21"/>
          <w:lang w:val="en-US" w:eastAsia="zh-CN"/>
        </w:rPr>
        <w:t>球阀</w:t>
      </w:r>
    </w:p>
    <w:p>
      <w:pPr>
        <w:numPr>
          <w:ilvl w:val="0"/>
          <w:numId w:val="11"/>
        </w:numPr>
        <w:spacing w:line="360" w:lineRule="auto"/>
        <w:ind w:firstLine="420"/>
        <w:rPr>
          <w:szCs w:val="21"/>
        </w:rPr>
      </w:pPr>
      <w:r>
        <w:rPr>
          <w:szCs w:val="21"/>
        </w:rPr>
        <w:t>输送介质：清水或者药剂，温度范围在-30℃~+150℃之间。</w:t>
      </w:r>
    </w:p>
    <w:p>
      <w:pPr>
        <w:numPr>
          <w:ilvl w:val="0"/>
          <w:numId w:val="11"/>
        </w:numPr>
        <w:spacing w:line="360" w:lineRule="auto"/>
        <w:ind w:firstLine="420"/>
        <w:rPr>
          <w:szCs w:val="21"/>
        </w:rPr>
      </w:pPr>
      <w:r>
        <w:rPr>
          <w:rFonts w:hint="eastAsia"/>
          <w:szCs w:val="21"/>
        </w:rPr>
        <w:t>.</w:t>
      </w:r>
      <w:r>
        <w:rPr>
          <w:szCs w:val="21"/>
        </w:rPr>
        <w:t>阀门各部件可以100%做替换。</w:t>
      </w:r>
    </w:p>
    <w:p>
      <w:pPr>
        <w:numPr>
          <w:ilvl w:val="0"/>
          <w:numId w:val="11"/>
        </w:numPr>
        <w:spacing w:line="360" w:lineRule="auto"/>
        <w:ind w:firstLine="420"/>
        <w:rPr>
          <w:szCs w:val="21"/>
        </w:rPr>
      </w:pPr>
      <w:r>
        <w:rPr>
          <w:szCs w:val="21"/>
        </w:rPr>
        <w:t>球体：球体应采用不锈钢SS304材质。球体和阀轴的连接采用销连接或其他可靠的固定方式，球体应为对称结构，以减少动态扭矩和振动。</w:t>
      </w:r>
    </w:p>
    <w:p>
      <w:pPr>
        <w:numPr>
          <w:ilvl w:val="0"/>
          <w:numId w:val="11"/>
        </w:numPr>
        <w:spacing w:line="360" w:lineRule="auto"/>
        <w:ind w:firstLine="420"/>
        <w:rPr>
          <w:szCs w:val="21"/>
        </w:rPr>
      </w:pPr>
      <w:r>
        <w:rPr>
          <w:szCs w:val="21"/>
        </w:rPr>
        <w:t>★阀体：</w:t>
      </w:r>
      <w:r>
        <w:rPr>
          <w:rFonts w:hint="eastAsia"/>
          <w:szCs w:val="21"/>
          <w:lang w:val="en-US" w:eastAsia="zh-CN"/>
        </w:rPr>
        <w:t>金属</w:t>
      </w:r>
      <w:r>
        <w:rPr>
          <w:szCs w:val="21"/>
        </w:rPr>
        <w:t>阀体应采用不锈钢SS304材质，两片式结构，螺纹连接。</w:t>
      </w:r>
    </w:p>
    <w:p>
      <w:pPr>
        <w:numPr>
          <w:ilvl w:val="0"/>
          <w:numId w:val="11"/>
        </w:numPr>
        <w:spacing w:line="360" w:lineRule="auto"/>
        <w:ind w:firstLine="420"/>
        <w:rPr>
          <w:szCs w:val="21"/>
        </w:rPr>
      </w:pPr>
      <w:r>
        <w:rPr>
          <w:szCs w:val="21"/>
        </w:rPr>
        <w:t>紧固件：螺栓、螺母等紧固件也应采用不锈钢材料制造，其抗拉强度、屈服强度、断后伸长率等应符合GB/T3098.1—2010标准要求。</w:t>
      </w:r>
    </w:p>
    <w:p>
      <w:pPr>
        <w:pStyle w:val="38"/>
        <w:numPr>
          <w:ilvl w:val="0"/>
          <w:numId w:val="9"/>
        </w:numPr>
        <w:autoSpaceDE w:val="0"/>
        <w:autoSpaceDN w:val="0"/>
        <w:adjustRightInd w:val="0"/>
        <w:snapToGrid w:val="0"/>
        <w:spacing w:line="360" w:lineRule="auto"/>
        <w:ind w:firstLine="422" w:firstLineChars="200"/>
        <w:outlineLvl w:val="1"/>
        <w:rPr>
          <w:rFonts w:hint="eastAsia" w:ascii="宋体" w:hAnsi="宋体" w:eastAsia="宋体" w:cs="宋体"/>
          <w:b/>
          <w:bCs/>
          <w:szCs w:val="21"/>
        </w:rPr>
      </w:pPr>
      <w:r>
        <w:rPr>
          <w:rFonts w:hint="eastAsia" w:cs="宋体"/>
          <w:b/>
          <w:bCs/>
          <w:szCs w:val="21"/>
          <w:lang w:val="en-US" w:eastAsia="zh-CN"/>
        </w:rPr>
        <w:t>止回阀</w:t>
      </w:r>
    </w:p>
    <w:p>
      <w:pPr>
        <w:pStyle w:val="38"/>
        <w:numPr>
          <w:ilvl w:val="0"/>
          <w:numId w:val="12"/>
        </w:numPr>
        <w:spacing w:line="360" w:lineRule="auto"/>
        <w:ind w:firstLine="420" w:firstLineChars="200"/>
        <w:outlineLvl w:val="2"/>
        <w:rPr>
          <w:szCs w:val="21"/>
        </w:rPr>
      </w:pPr>
      <w:r>
        <w:rPr>
          <w:szCs w:val="21"/>
        </w:rPr>
        <w:t>执行标准</w:t>
      </w:r>
    </w:p>
    <w:p>
      <w:pPr>
        <w:spacing w:line="360" w:lineRule="auto"/>
        <w:ind w:firstLine="420" w:firstLineChars="200"/>
        <w:rPr>
          <w:szCs w:val="21"/>
        </w:rPr>
      </w:pPr>
      <w:r>
        <w:rPr>
          <w:szCs w:val="21"/>
        </w:rPr>
        <w:t>GB/T13932—1992《通用阀门铁制旋启式止回阀》</w:t>
      </w:r>
    </w:p>
    <w:p>
      <w:pPr>
        <w:spacing w:line="360" w:lineRule="auto"/>
        <w:ind w:firstLine="420" w:firstLineChars="200"/>
        <w:rPr>
          <w:szCs w:val="21"/>
        </w:rPr>
      </w:pPr>
      <w:r>
        <w:rPr>
          <w:szCs w:val="21"/>
        </w:rPr>
        <w:t>JB/T5298—1991《通用阀门流量系数和流阻系数的试验方法》</w:t>
      </w:r>
    </w:p>
    <w:p>
      <w:pPr>
        <w:spacing w:line="360" w:lineRule="auto"/>
        <w:ind w:firstLine="420" w:firstLineChars="200"/>
        <w:rPr>
          <w:szCs w:val="21"/>
        </w:rPr>
      </w:pPr>
      <w:r>
        <w:rPr>
          <w:szCs w:val="21"/>
        </w:rPr>
        <w:t>JB311—75《止回阀参数》</w:t>
      </w:r>
    </w:p>
    <w:p>
      <w:pPr>
        <w:spacing w:line="360" w:lineRule="auto"/>
        <w:ind w:firstLine="420" w:firstLineChars="200"/>
        <w:rPr>
          <w:szCs w:val="21"/>
        </w:rPr>
      </w:pPr>
      <w:r>
        <w:rPr>
          <w:szCs w:val="21"/>
        </w:rPr>
        <w:t>JB/T53036—1999《止回阀产品质量分等》</w:t>
      </w:r>
    </w:p>
    <w:p>
      <w:pPr>
        <w:pStyle w:val="38"/>
        <w:numPr>
          <w:ilvl w:val="0"/>
          <w:numId w:val="13"/>
        </w:numPr>
        <w:spacing w:line="360" w:lineRule="auto"/>
        <w:ind w:firstLine="420" w:firstLineChars="200"/>
        <w:outlineLvl w:val="2"/>
        <w:rPr>
          <w:szCs w:val="21"/>
        </w:rPr>
      </w:pPr>
      <w:r>
        <w:rPr>
          <w:szCs w:val="21"/>
        </w:rPr>
        <w:t>技术性能</w:t>
      </w:r>
    </w:p>
    <w:p>
      <w:pPr>
        <w:spacing w:line="360" w:lineRule="auto"/>
        <w:ind w:firstLine="420" w:firstLineChars="200"/>
        <w:rPr>
          <w:szCs w:val="21"/>
        </w:rPr>
      </w:pPr>
      <w:r>
        <w:rPr>
          <w:szCs w:val="21"/>
        </w:rPr>
        <w:t>（1）止回阀开启时，阀瓣伸出长度不应影响使用。采用全流面积式设计，水头损失小，不易堆积杂物，维修简便。</w:t>
      </w:r>
    </w:p>
    <w:p>
      <w:pPr>
        <w:spacing w:line="360" w:lineRule="auto"/>
        <w:ind w:firstLine="420" w:firstLineChars="200"/>
        <w:rPr>
          <w:szCs w:val="21"/>
        </w:rPr>
      </w:pPr>
      <w:r>
        <w:rPr>
          <w:szCs w:val="21"/>
        </w:rPr>
        <w:t>（2）阀瓣的关闭行程要小，行程角仅35°即可达到全开启，并且在反向水流作用下关闭速度快，减少水锤发生。</w:t>
      </w:r>
    </w:p>
    <w:p>
      <w:pPr>
        <w:spacing w:line="360" w:lineRule="auto"/>
        <w:ind w:firstLine="420" w:firstLineChars="200"/>
        <w:rPr>
          <w:szCs w:val="21"/>
        </w:rPr>
      </w:pPr>
      <w:r>
        <w:rPr>
          <w:szCs w:val="21"/>
        </w:rPr>
        <w:t>（3）阀瓣应启闭灵活，阀门具有较小的开启压力，并且密封性能优异。能适应污水工况要求，无卡阻现象。</w:t>
      </w:r>
    </w:p>
    <w:p>
      <w:pPr>
        <w:spacing w:line="360" w:lineRule="auto"/>
        <w:ind w:firstLine="420" w:firstLineChars="200"/>
        <w:rPr>
          <w:szCs w:val="21"/>
        </w:rPr>
      </w:pPr>
      <w:r>
        <w:rPr>
          <w:szCs w:val="21"/>
        </w:rPr>
        <w:t>（4）橡胶瓣止回阀内外均应进行环氧树脂喷涂，颜色为天蓝色，涂层厚度在0.2～0.3mm之间。</w:t>
      </w:r>
    </w:p>
    <w:p>
      <w:pPr>
        <w:spacing w:line="360" w:lineRule="auto"/>
        <w:ind w:firstLine="420" w:firstLineChars="200"/>
        <w:rPr>
          <w:szCs w:val="21"/>
        </w:rPr>
      </w:pPr>
      <w:r>
        <w:rPr>
          <w:szCs w:val="21"/>
        </w:rPr>
        <w:t>（5）阀瓣由钢板做承压件，外覆强化尼龙布，最外层采用热硫化整体包胶技术制成。在橡胶瓣中加入的尼龙纤维可使钢板与钢棒间形成弹性强化部位，使阀门能经常启闭而不断裂。</w:t>
      </w:r>
    </w:p>
    <w:p>
      <w:pPr>
        <w:pStyle w:val="38"/>
        <w:numPr>
          <w:ilvl w:val="0"/>
          <w:numId w:val="14"/>
        </w:numPr>
        <w:spacing w:line="360" w:lineRule="auto"/>
        <w:ind w:firstLine="420" w:firstLineChars="200"/>
        <w:outlineLvl w:val="2"/>
        <w:rPr>
          <w:szCs w:val="21"/>
        </w:rPr>
      </w:pPr>
      <w:r>
        <w:rPr>
          <w:szCs w:val="21"/>
        </w:rPr>
        <w:t>★主要零部件材质</w:t>
      </w:r>
      <w:r>
        <w:rPr>
          <w:rFonts w:hint="eastAsia"/>
          <w:szCs w:val="21"/>
          <w:lang w:eastAsia="zh-CN"/>
        </w:rPr>
        <w:t>（</w:t>
      </w:r>
      <w:r>
        <w:rPr>
          <w:rFonts w:hint="eastAsia"/>
          <w:szCs w:val="21"/>
          <w:lang w:val="en-US" w:eastAsia="zh-CN"/>
        </w:rPr>
        <w:t>金属类</w:t>
      </w:r>
      <w:r>
        <w:rPr>
          <w:rFonts w:hint="eastAsia"/>
          <w:szCs w:val="21"/>
          <w:lang w:eastAsia="zh-CN"/>
        </w:rPr>
        <w:t>）</w:t>
      </w:r>
    </w:p>
    <w:tbl>
      <w:tblPr>
        <w:tblStyle w:val="1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072"/>
        <w:gridCol w:w="44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89" w:type="pct"/>
            <w:vAlign w:val="center"/>
          </w:tcPr>
          <w:p>
            <w:pPr>
              <w:spacing w:line="360" w:lineRule="auto"/>
              <w:jc w:val="center"/>
              <w:rPr>
                <w:szCs w:val="21"/>
              </w:rPr>
            </w:pPr>
            <w:r>
              <w:rPr>
                <w:szCs w:val="21"/>
              </w:rPr>
              <w:t>主要零部件名称</w:t>
            </w:r>
          </w:p>
        </w:tc>
        <w:tc>
          <w:tcPr>
            <w:tcW w:w="2611" w:type="pct"/>
            <w:vAlign w:val="center"/>
          </w:tcPr>
          <w:p>
            <w:pPr>
              <w:spacing w:line="360" w:lineRule="auto"/>
              <w:jc w:val="center"/>
              <w:rPr>
                <w:szCs w:val="21"/>
              </w:rPr>
            </w:pPr>
            <w:r>
              <w:rPr>
                <w:szCs w:val="21"/>
              </w:rPr>
              <w:t>材质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89" w:type="pct"/>
            <w:vAlign w:val="center"/>
          </w:tcPr>
          <w:p>
            <w:pPr>
              <w:spacing w:line="360" w:lineRule="auto"/>
              <w:rPr>
                <w:szCs w:val="21"/>
              </w:rPr>
            </w:pPr>
            <w:r>
              <w:rPr>
                <w:szCs w:val="21"/>
              </w:rPr>
              <w:t>阀体、阀盖</w:t>
            </w:r>
          </w:p>
        </w:tc>
        <w:tc>
          <w:tcPr>
            <w:tcW w:w="2611" w:type="pct"/>
            <w:vAlign w:val="center"/>
          </w:tcPr>
          <w:p>
            <w:pPr>
              <w:spacing w:line="360" w:lineRule="auto"/>
              <w:rPr>
                <w:szCs w:val="21"/>
              </w:rPr>
            </w:pPr>
            <w:r>
              <w:rPr>
                <w:szCs w:val="21"/>
              </w:rPr>
              <w:t>球墨铸铁QT450—10或不锈钢（根据管材材质配套）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89" w:type="pct"/>
            <w:vAlign w:val="center"/>
          </w:tcPr>
          <w:p>
            <w:pPr>
              <w:spacing w:line="360" w:lineRule="auto"/>
              <w:rPr>
                <w:szCs w:val="21"/>
              </w:rPr>
            </w:pPr>
            <w:r>
              <w:rPr>
                <w:szCs w:val="21"/>
              </w:rPr>
              <w:t>阀瓣</w:t>
            </w:r>
          </w:p>
        </w:tc>
        <w:tc>
          <w:tcPr>
            <w:tcW w:w="2611" w:type="pct"/>
            <w:vAlign w:val="center"/>
          </w:tcPr>
          <w:p>
            <w:pPr>
              <w:spacing w:line="360" w:lineRule="auto"/>
              <w:rPr>
                <w:szCs w:val="21"/>
              </w:rPr>
            </w:pPr>
            <w:r>
              <w:rPr>
                <w:szCs w:val="21"/>
              </w:rPr>
              <w:t>碳钢+强化尼龙（衬底）+NBR（整体包覆）</w:t>
            </w:r>
          </w:p>
        </w:tc>
      </w:tr>
    </w:tbl>
    <w:p>
      <w:pPr>
        <w:pStyle w:val="38"/>
        <w:numPr>
          <w:ilvl w:val="0"/>
          <w:numId w:val="0"/>
        </w:numPr>
        <w:autoSpaceDE w:val="0"/>
        <w:autoSpaceDN w:val="0"/>
        <w:adjustRightInd w:val="0"/>
        <w:snapToGrid w:val="0"/>
        <w:spacing w:line="360" w:lineRule="auto"/>
        <w:ind w:leftChars="200"/>
        <w:outlineLvl w:val="1"/>
        <w:rPr>
          <w:b/>
          <w:bCs/>
          <w:szCs w:val="21"/>
        </w:rPr>
      </w:pPr>
    </w:p>
    <w:p>
      <w:pPr>
        <w:pStyle w:val="38"/>
        <w:numPr>
          <w:ilvl w:val="0"/>
          <w:numId w:val="9"/>
        </w:numPr>
        <w:autoSpaceDE w:val="0"/>
        <w:autoSpaceDN w:val="0"/>
        <w:adjustRightInd w:val="0"/>
        <w:snapToGrid w:val="0"/>
        <w:spacing w:line="360" w:lineRule="auto"/>
        <w:ind w:firstLine="422" w:firstLineChars="200"/>
        <w:outlineLvl w:val="1"/>
        <w:rPr>
          <w:b/>
          <w:bCs/>
          <w:szCs w:val="21"/>
        </w:rPr>
      </w:pPr>
      <w:r>
        <w:rPr>
          <w:b/>
          <w:bCs/>
          <w:szCs w:val="21"/>
        </w:rPr>
        <w:t>橡胶接头</w:t>
      </w:r>
    </w:p>
    <w:p>
      <w:pPr>
        <w:numPr>
          <w:ilvl w:val="0"/>
          <w:numId w:val="15"/>
        </w:numPr>
        <w:adjustRightInd w:val="0"/>
        <w:snapToGrid w:val="0"/>
        <w:spacing w:line="360" w:lineRule="auto"/>
        <w:ind w:firstLine="452" w:firstLineChars="200"/>
        <w:rPr>
          <w:spacing w:val="8"/>
          <w:szCs w:val="21"/>
        </w:rPr>
      </w:pPr>
      <w:r>
        <w:rPr>
          <w:spacing w:val="8"/>
          <w:szCs w:val="21"/>
        </w:rPr>
        <w:t>橡胶接头整体性能符合GB/T26121—2010《可曲挠橡胶接头》标准</w:t>
      </w:r>
    </w:p>
    <w:p>
      <w:pPr>
        <w:numPr>
          <w:ilvl w:val="0"/>
          <w:numId w:val="15"/>
        </w:numPr>
        <w:adjustRightInd w:val="0"/>
        <w:snapToGrid w:val="0"/>
        <w:spacing w:line="360" w:lineRule="auto"/>
        <w:ind w:firstLine="452" w:firstLineChars="200"/>
        <w:rPr>
          <w:spacing w:val="8"/>
          <w:szCs w:val="21"/>
        </w:rPr>
      </w:pPr>
      <w:r>
        <w:rPr>
          <w:spacing w:val="8"/>
          <w:szCs w:val="21"/>
        </w:rPr>
        <w:t>橡胶接头应耐压强度高、不泄漏、防拉脱、装卸方便、密封性好、耐腐蚀。</w:t>
      </w:r>
    </w:p>
    <w:p>
      <w:pPr>
        <w:numPr>
          <w:ilvl w:val="0"/>
          <w:numId w:val="15"/>
        </w:numPr>
        <w:adjustRightInd w:val="0"/>
        <w:snapToGrid w:val="0"/>
        <w:spacing w:line="360" w:lineRule="auto"/>
        <w:ind w:firstLine="452" w:firstLineChars="200"/>
        <w:rPr>
          <w:spacing w:val="8"/>
          <w:szCs w:val="21"/>
        </w:rPr>
      </w:pPr>
      <w:r>
        <w:rPr>
          <w:spacing w:val="8"/>
          <w:szCs w:val="21"/>
        </w:rPr>
        <w:t>设备中的碳钢部件，进行防腐处理，正常使用年限为20年。</w:t>
      </w:r>
    </w:p>
    <w:p>
      <w:pPr>
        <w:numPr>
          <w:ilvl w:val="0"/>
          <w:numId w:val="15"/>
        </w:numPr>
        <w:adjustRightInd w:val="0"/>
        <w:snapToGrid w:val="0"/>
        <w:spacing w:line="360" w:lineRule="auto"/>
        <w:ind w:firstLine="452" w:firstLineChars="200"/>
        <w:rPr>
          <w:spacing w:val="8"/>
          <w:szCs w:val="21"/>
        </w:rPr>
      </w:pPr>
      <w:r>
        <w:rPr>
          <w:spacing w:val="8"/>
          <w:szCs w:val="21"/>
        </w:rPr>
        <w:t>橡胶接头型式：可挠曲、单球式；</w:t>
      </w:r>
    </w:p>
    <w:p>
      <w:pPr>
        <w:numPr>
          <w:ilvl w:val="0"/>
          <w:numId w:val="15"/>
        </w:numPr>
        <w:adjustRightInd w:val="0"/>
        <w:snapToGrid w:val="0"/>
        <w:spacing w:line="360" w:lineRule="auto"/>
        <w:ind w:firstLine="452" w:firstLineChars="200"/>
        <w:rPr>
          <w:spacing w:val="8"/>
          <w:szCs w:val="21"/>
        </w:rPr>
      </w:pPr>
      <w:r>
        <w:rPr>
          <w:spacing w:val="8"/>
          <w:szCs w:val="21"/>
        </w:rPr>
        <w:t>橡胶接头构成：单球橡胶接头、配套碳钢法兰等组成；</w:t>
      </w:r>
    </w:p>
    <w:p>
      <w:pPr>
        <w:numPr>
          <w:ilvl w:val="0"/>
          <w:numId w:val="15"/>
        </w:numPr>
        <w:adjustRightInd w:val="0"/>
        <w:snapToGrid w:val="0"/>
        <w:spacing w:line="360" w:lineRule="auto"/>
        <w:ind w:firstLine="452" w:firstLineChars="200"/>
        <w:rPr>
          <w:spacing w:val="8"/>
          <w:szCs w:val="21"/>
        </w:rPr>
      </w:pPr>
      <w:r>
        <w:rPr>
          <w:spacing w:val="8"/>
          <w:szCs w:val="21"/>
        </w:rPr>
        <w:t>安装形式：室内、室外井内；</w:t>
      </w:r>
    </w:p>
    <w:p>
      <w:pPr>
        <w:numPr>
          <w:ilvl w:val="0"/>
          <w:numId w:val="15"/>
        </w:numPr>
        <w:adjustRightInd w:val="0"/>
        <w:snapToGrid w:val="0"/>
        <w:spacing w:line="360" w:lineRule="auto"/>
        <w:ind w:firstLine="452" w:firstLineChars="200"/>
        <w:rPr>
          <w:spacing w:val="8"/>
          <w:szCs w:val="21"/>
        </w:rPr>
      </w:pPr>
      <w:r>
        <w:rPr>
          <w:spacing w:val="8"/>
          <w:szCs w:val="21"/>
        </w:rPr>
        <w:t>使用寿命：20年</w:t>
      </w:r>
    </w:p>
    <w:p>
      <w:pPr>
        <w:numPr>
          <w:ilvl w:val="0"/>
          <w:numId w:val="15"/>
        </w:numPr>
        <w:adjustRightInd w:val="0"/>
        <w:snapToGrid w:val="0"/>
        <w:spacing w:line="360" w:lineRule="auto"/>
        <w:ind w:firstLine="452" w:firstLineChars="200"/>
        <w:rPr>
          <w:spacing w:val="8"/>
          <w:szCs w:val="21"/>
        </w:rPr>
      </w:pPr>
      <w:r>
        <w:rPr>
          <w:spacing w:val="8"/>
          <w:szCs w:val="21"/>
        </w:rPr>
        <w:t>橡胶接头材质</w:t>
      </w:r>
    </w:p>
    <w:p>
      <w:pPr>
        <w:numPr>
          <w:ilvl w:val="0"/>
          <w:numId w:val="15"/>
        </w:numPr>
        <w:adjustRightInd w:val="0"/>
        <w:snapToGrid w:val="0"/>
        <w:spacing w:line="360" w:lineRule="auto"/>
        <w:ind w:firstLine="452" w:firstLineChars="200"/>
        <w:rPr>
          <w:spacing w:val="8"/>
          <w:szCs w:val="21"/>
        </w:rPr>
      </w:pPr>
      <w:r>
        <w:rPr>
          <w:spacing w:val="8"/>
          <w:szCs w:val="21"/>
        </w:rPr>
        <w:t>★单球橡胶接头：丁苯氯丁天然橡胶（含聚酯帘布加强层）；</w:t>
      </w:r>
    </w:p>
    <w:p>
      <w:pPr>
        <w:numPr>
          <w:ilvl w:val="0"/>
          <w:numId w:val="15"/>
        </w:numPr>
        <w:adjustRightInd w:val="0"/>
        <w:snapToGrid w:val="0"/>
        <w:spacing w:line="360" w:lineRule="auto"/>
        <w:ind w:firstLine="452" w:firstLineChars="200"/>
        <w:rPr>
          <w:spacing w:val="8"/>
          <w:szCs w:val="21"/>
        </w:rPr>
      </w:pPr>
      <w:r>
        <w:rPr>
          <w:spacing w:val="8"/>
          <w:szCs w:val="21"/>
        </w:rPr>
        <w:t>配套法兰：Q235A。</w:t>
      </w:r>
    </w:p>
    <w:p>
      <w:pPr>
        <w:pStyle w:val="38"/>
        <w:numPr>
          <w:ilvl w:val="0"/>
          <w:numId w:val="9"/>
        </w:numPr>
        <w:autoSpaceDE w:val="0"/>
        <w:autoSpaceDN w:val="0"/>
        <w:adjustRightInd w:val="0"/>
        <w:snapToGrid w:val="0"/>
        <w:spacing w:line="360" w:lineRule="auto"/>
        <w:ind w:firstLine="422" w:firstLineChars="200"/>
        <w:outlineLvl w:val="1"/>
        <w:rPr>
          <w:rFonts w:hint="eastAsia"/>
          <w:b/>
          <w:bCs/>
          <w:szCs w:val="21"/>
          <w:lang w:val="en-US" w:eastAsia="zh-CN"/>
        </w:rPr>
      </w:pPr>
      <w:r>
        <w:rPr>
          <w:rFonts w:hint="eastAsia"/>
          <w:b/>
          <w:bCs/>
          <w:szCs w:val="21"/>
          <w:lang w:val="en-US" w:eastAsia="zh-CN"/>
        </w:rPr>
        <w:t>电控箱</w:t>
      </w:r>
    </w:p>
    <w:p>
      <w:pPr>
        <w:widowControl/>
        <w:numPr>
          <w:ilvl w:val="0"/>
          <w:numId w:val="16"/>
        </w:numPr>
        <w:spacing w:line="360" w:lineRule="auto"/>
        <w:ind w:firstLine="420" w:firstLineChars="200"/>
        <w:outlineLvl w:val="3"/>
        <w:rPr>
          <w:rFonts w:ascii="宋体" w:hAnsi="宋体" w:eastAsia="宋体" w:cs="Times New Roman"/>
          <w:bCs/>
          <w:szCs w:val="21"/>
        </w:rPr>
      </w:pPr>
      <w:r>
        <w:rPr>
          <w:rFonts w:ascii="宋体" w:hAnsi="宋体" w:eastAsia="宋体" w:cs="Times New Roman"/>
          <w:bCs/>
          <w:szCs w:val="21"/>
        </w:rPr>
        <w:t>控制箱结构</w:t>
      </w:r>
    </w:p>
    <w:p>
      <w:pPr>
        <w:widowControl/>
        <w:spacing w:line="360" w:lineRule="auto"/>
        <w:ind w:firstLine="482"/>
        <w:rPr>
          <w:rFonts w:ascii="宋体" w:hAnsi="宋体" w:eastAsia="宋体" w:cs="Times New Roman"/>
          <w:bCs/>
          <w:szCs w:val="21"/>
        </w:rPr>
      </w:pPr>
      <w:r>
        <w:rPr>
          <w:rFonts w:ascii="宋体" w:hAnsi="宋体" w:eastAsia="宋体" w:cs="Times New Roman"/>
          <w:bCs/>
          <w:szCs w:val="21"/>
        </w:rPr>
        <w:t>控制箱为挂壁式或落地式安装，电控箱中心距地1.5米，具体参照施工图；</w:t>
      </w:r>
    </w:p>
    <w:p>
      <w:pPr>
        <w:widowControl/>
        <w:spacing w:line="360" w:lineRule="auto"/>
        <w:ind w:firstLine="482"/>
        <w:rPr>
          <w:rFonts w:ascii="宋体" w:hAnsi="宋体" w:eastAsia="宋体" w:cs="Times New Roman"/>
          <w:bCs/>
          <w:szCs w:val="21"/>
        </w:rPr>
      </w:pPr>
      <w:r>
        <w:rPr>
          <w:rFonts w:ascii="宋体" w:hAnsi="宋体" w:eastAsia="宋体" w:cs="Times New Roman"/>
          <w:bCs/>
          <w:szCs w:val="21"/>
        </w:rPr>
        <w:t>控制箱要求前检修、前开门；</w:t>
      </w:r>
    </w:p>
    <w:p>
      <w:pPr>
        <w:widowControl/>
        <w:spacing w:line="360" w:lineRule="auto"/>
        <w:ind w:firstLine="482"/>
        <w:rPr>
          <w:rFonts w:ascii="宋体" w:hAnsi="宋体" w:eastAsia="宋体" w:cs="Times New Roman"/>
          <w:b/>
          <w:szCs w:val="21"/>
        </w:rPr>
      </w:pPr>
      <w:r>
        <w:rPr>
          <w:rFonts w:ascii="宋体" w:hAnsi="宋体" w:eastAsia="宋体" w:cs="Times New Roman"/>
          <w:b/>
          <w:szCs w:val="21"/>
        </w:rPr>
        <w:t>箱体材质：SS304不锈钢，厚度2mm；</w:t>
      </w:r>
    </w:p>
    <w:p>
      <w:pPr>
        <w:widowControl/>
        <w:spacing w:line="360" w:lineRule="auto"/>
        <w:ind w:firstLine="482"/>
        <w:rPr>
          <w:rFonts w:ascii="宋体" w:hAnsi="宋体" w:eastAsia="宋体" w:cs="Times New Roman"/>
          <w:b/>
          <w:szCs w:val="21"/>
        </w:rPr>
      </w:pPr>
      <w:r>
        <w:rPr>
          <w:rFonts w:ascii="宋体" w:hAnsi="宋体" w:eastAsia="宋体" w:cs="Times New Roman"/>
          <w:b/>
          <w:szCs w:val="21"/>
        </w:rPr>
        <w:t>颜色：GSB05—1426—2001</w:t>
      </w:r>
    </w:p>
    <w:p>
      <w:pPr>
        <w:widowControl/>
        <w:spacing w:line="360" w:lineRule="auto"/>
        <w:ind w:firstLine="482"/>
        <w:rPr>
          <w:rFonts w:ascii="宋体" w:hAnsi="宋体" w:eastAsia="宋体" w:cs="Times New Roman"/>
          <w:bCs/>
          <w:szCs w:val="21"/>
        </w:rPr>
      </w:pPr>
      <w:r>
        <w:rPr>
          <w:rFonts w:ascii="宋体" w:hAnsi="宋体" w:eastAsia="宋体" w:cs="Times New Roman"/>
          <w:bCs/>
          <w:szCs w:val="21"/>
        </w:rPr>
        <w:t>防护等级：不低于IP55，详细见图纸；</w:t>
      </w:r>
    </w:p>
    <w:p>
      <w:pPr>
        <w:widowControl/>
        <w:spacing w:line="360" w:lineRule="auto"/>
        <w:ind w:firstLine="482"/>
        <w:rPr>
          <w:rFonts w:ascii="宋体" w:hAnsi="宋体" w:eastAsia="宋体" w:cs="Times New Roman"/>
          <w:bCs/>
          <w:szCs w:val="21"/>
        </w:rPr>
      </w:pPr>
      <w:r>
        <w:rPr>
          <w:rFonts w:ascii="宋体" w:hAnsi="宋体" w:eastAsia="宋体" w:cs="Times New Roman"/>
          <w:bCs/>
          <w:szCs w:val="21"/>
        </w:rPr>
        <w:t>为延长箱体和电气元器件的使用寿命，要求对不锈钢材质进行出厂前钝化处理，并采用双门加玻璃视窗的布局方式。</w:t>
      </w:r>
    </w:p>
    <w:p>
      <w:pPr>
        <w:widowControl/>
        <w:numPr>
          <w:ilvl w:val="0"/>
          <w:numId w:val="17"/>
        </w:numPr>
        <w:spacing w:line="360" w:lineRule="auto"/>
        <w:ind w:firstLine="420" w:firstLineChars="200"/>
        <w:outlineLvl w:val="3"/>
        <w:rPr>
          <w:rFonts w:ascii="宋体" w:hAnsi="宋体" w:eastAsia="宋体" w:cs="Times New Roman"/>
          <w:bCs/>
          <w:szCs w:val="21"/>
        </w:rPr>
      </w:pPr>
      <w:r>
        <w:rPr>
          <w:rFonts w:ascii="宋体" w:hAnsi="宋体" w:eastAsia="宋体" w:cs="Times New Roman"/>
          <w:bCs/>
          <w:szCs w:val="21"/>
        </w:rPr>
        <w:t>控制箱技术要求</w:t>
      </w:r>
    </w:p>
    <w:p>
      <w:pPr>
        <w:widowControl/>
        <w:spacing w:line="360" w:lineRule="auto"/>
        <w:ind w:firstLine="482"/>
        <w:rPr>
          <w:rFonts w:ascii="宋体" w:hAnsi="宋体" w:eastAsia="宋体" w:cs="Times New Roman"/>
          <w:bCs/>
          <w:szCs w:val="21"/>
        </w:rPr>
      </w:pPr>
      <w:r>
        <w:rPr>
          <w:rFonts w:ascii="宋体" w:hAnsi="宋体" w:eastAsia="宋体" w:cs="Times New Roman"/>
          <w:bCs/>
          <w:szCs w:val="21"/>
        </w:rPr>
        <w:t>机旁控制箱用于控制水泵的开/停机，动力及信号电缆的转接；实现手动/自动、远程/就地切换；含自动、运行、故障、高液位报警等信号输出，提供所有状态及控制信号接出端子；户外式电控箱，含主回路、控制回路及所有元器件。</w:t>
      </w:r>
    </w:p>
    <w:p>
      <w:pPr>
        <w:widowControl/>
        <w:spacing w:line="360" w:lineRule="auto"/>
        <w:ind w:firstLine="482"/>
        <w:rPr>
          <w:rFonts w:ascii="宋体" w:hAnsi="宋体" w:eastAsia="宋体" w:cs="Times New Roman"/>
          <w:bCs/>
          <w:szCs w:val="21"/>
        </w:rPr>
      </w:pPr>
      <w:r>
        <w:rPr>
          <w:rFonts w:ascii="宋体" w:hAnsi="宋体" w:eastAsia="宋体" w:cs="Times New Roman"/>
          <w:bCs/>
          <w:szCs w:val="21"/>
        </w:rPr>
        <w:t>控制箱内至少应包括：动力及信号接线转接端子排，水泵故障信号转换装置，“急停”按钮，启动及停止按钮，信号等元件。</w:t>
      </w:r>
    </w:p>
    <w:p>
      <w:pPr>
        <w:widowControl/>
        <w:spacing w:line="360" w:lineRule="auto"/>
        <w:ind w:firstLine="482"/>
        <w:rPr>
          <w:rFonts w:ascii="宋体" w:hAnsi="宋体" w:eastAsia="宋体" w:cs="Times New Roman"/>
          <w:bCs/>
          <w:szCs w:val="21"/>
        </w:rPr>
      </w:pPr>
      <w:r>
        <w:rPr>
          <w:rFonts w:ascii="宋体" w:hAnsi="宋体" w:eastAsia="宋体" w:cs="Times New Roman"/>
          <w:bCs/>
          <w:szCs w:val="21"/>
        </w:rPr>
        <w:t>故障信号转换装置应能将水泵或搅拌器本体检测的信号转换成开关量输出。</w:t>
      </w:r>
    </w:p>
    <w:p>
      <w:pPr>
        <w:widowControl/>
        <w:spacing w:line="360" w:lineRule="auto"/>
        <w:ind w:firstLine="482"/>
        <w:rPr>
          <w:rFonts w:ascii="宋体" w:hAnsi="宋体" w:eastAsia="宋体" w:cs="Times New Roman"/>
          <w:bCs/>
          <w:szCs w:val="21"/>
        </w:rPr>
      </w:pPr>
      <w:r>
        <w:rPr>
          <w:rFonts w:ascii="宋体" w:hAnsi="宋体" w:eastAsia="宋体" w:cs="Times New Roman"/>
          <w:bCs/>
          <w:szCs w:val="21"/>
        </w:rPr>
        <w:t>控制箱具有过载、缺相、短路、漏电保护功能，并提供综合故障信号点。</w:t>
      </w:r>
    </w:p>
    <w:p>
      <w:pPr>
        <w:widowControl/>
        <w:spacing w:line="360" w:lineRule="auto"/>
        <w:ind w:firstLine="482"/>
        <w:rPr>
          <w:rFonts w:ascii="宋体" w:hAnsi="宋体" w:eastAsia="宋体" w:cs="Times New Roman"/>
          <w:bCs/>
          <w:szCs w:val="21"/>
        </w:rPr>
      </w:pPr>
      <w:r>
        <w:rPr>
          <w:rFonts w:ascii="宋体" w:hAnsi="宋体" w:eastAsia="宋体" w:cs="Times New Roman"/>
          <w:bCs/>
          <w:szCs w:val="21"/>
        </w:rPr>
        <w:t>控制箱内断路器、空气开关、接触器、继电器、按钮、指示灯等主要电气元件不低于施耐德、ABB、西门子或同档次品牌产品。</w:t>
      </w:r>
    </w:p>
    <w:p>
      <w:pPr>
        <w:widowControl/>
        <w:spacing w:line="360" w:lineRule="auto"/>
        <w:ind w:firstLine="482"/>
        <w:rPr>
          <w:rFonts w:ascii="宋体" w:hAnsi="宋体" w:eastAsia="宋体" w:cs="Times New Roman"/>
          <w:bCs/>
          <w:szCs w:val="21"/>
        </w:rPr>
      </w:pPr>
      <w:r>
        <w:rPr>
          <w:rFonts w:ascii="宋体" w:hAnsi="宋体" w:eastAsia="宋体" w:cs="Times New Roman"/>
          <w:bCs/>
          <w:szCs w:val="21"/>
        </w:rPr>
        <w:t>控制箱要提供通气孔和强制通风，以防止内部安装的设备使得温度过高，除了靠墙安装的柜，一般的柜的通气孔要放在柜的背面，顶部和底部，通气孔被压制成金属片结构，对靠墙安装的设备，通风孔要放在其两侧。</w:t>
      </w:r>
    </w:p>
    <w:p>
      <w:pPr>
        <w:widowControl/>
        <w:spacing w:line="360" w:lineRule="auto"/>
        <w:ind w:firstLine="482"/>
        <w:rPr>
          <w:rFonts w:ascii="宋体" w:hAnsi="宋体" w:eastAsia="宋体" w:cs="Times New Roman"/>
          <w:bCs/>
          <w:szCs w:val="21"/>
        </w:rPr>
      </w:pPr>
      <w:r>
        <w:rPr>
          <w:rFonts w:ascii="宋体" w:hAnsi="宋体" w:eastAsia="宋体" w:cs="Times New Roman"/>
          <w:bCs/>
          <w:szCs w:val="21"/>
        </w:rPr>
        <w:t>控制柜、按钮箱（接线按钮箱）共通要求按照本章节执行。</w:t>
      </w:r>
    </w:p>
    <w:p>
      <w:pPr>
        <w:widowControl/>
        <w:spacing w:line="360" w:lineRule="auto"/>
        <w:ind w:firstLine="482"/>
        <w:rPr>
          <w:rFonts w:ascii="宋体" w:hAnsi="宋体" w:eastAsia="宋体" w:cs="Times New Roman"/>
          <w:bCs/>
          <w:szCs w:val="21"/>
        </w:rPr>
      </w:pPr>
      <w:r>
        <w:rPr>
          <w:rFonts w:ascii="宋体" w:hAnsi="宋体" w:eastAsia="宋体" w:cs="Times New Roman"/>
          <w:bCs/>
          <w:szCs w:val="21"/>
        </w:rPr>
        <w:t>★所有的控制箱都要有20％扩展安装空间，以便远期修改和增加元件。所有PLC柜要完整的装配，在制造厂内要安装好设备并接线。</w:t>
      </w:r>
    </w:p>
    <w:p>
      <w:pPr>
        <w:numPr>
          <w:ilvl w:val="0"/>
          <w:numId w:val="0"/>
        </w:numPr>
        <w:adjustRightInd w:val="0"/>
        <w:snapToGrid w:val="0"/>
        <w:spacing w:line="360" w:lineRule="auto"/>
        <w:rPr>
          <w:rFonts w:hint="default"/>
          <w:spacing w:val="8"/>
          <w:szCs w:val="21"/>
          <w:lang w:val="en-US" w:eastAsia="zh-CN"/>
        </w:rPr>
      </w:pPr>
    </w:p>
    <w:p>
      <w:pPr>
        <w:pStyle w:val="38"/>
        <w:numPr>
          <w:ilvl w:val="0"/>
          <w:numId w:val="18"/>
        </w:numPr>
        <w:spacing w:line="360" w:lineRule="auto"/>
        <w:outlineLvl w:val="0"/>
        <w:rPr>
          <w:rFonts w:hint="eastAsia" w:ascii="宋体" w:hAnsi="宋体" w:eastAsia="宋体" w:cs="宋体"/>
          <w:b/>
          <w:bCs/>
          <w:szCs w:val="21"/>
        </w:rPr>
      </w:pPr>
      <w:bookmarkStart w:id="2" w:name="_Toc118200236"/>
      <w:r>
        <w:rPr>
          <w:rFonts w:hint="eastAsia" w:ascii="宋体" w:hAnsi="宋体" w:eastAsia="宋体" w:cs="宋体"/>
          <w:b/>
          <w:bCs/>
          <w:szCs w:val="21"/>
        </w:rPr>
        <w:t>设备一般要求</w:t>
      </w:r>
      <w:bookmarkEnd w:id="2"/>
    </w:p>
    <w:p>
      <w:pPr>
        <w:widowControl/>
        <w:snapToGrid w:val="0"/>
        <w:spacing w:line="360" w:lineRule="auto"/>
        <w:ind w:firstLine="420"/>
        <w:outlineLvl w:val="1"/>
        <w:rPr>
          <w:rFonts w:hint="eastAsia" w:ascii="宋体" w:hAnsi="宋体" w:eastAsia="宋体" w:cs="宋体"/>
          <w:b/>
          <w:szCs w:val="21"/>
        </w:rPr>
      </w:pPr>
      <w:bookmarkStart w:id="3" w:name="_Toc118200237"/>
      <w:bookmarkStart w:id="4" w:name="_Toc28785"/>
      <w:bookmarkStart w:id="5" w:name="_Toc36656133"/>
      <w:bookmarkStart w:id="6" w:name="_Toc36655881"/>
      <w:bookmarkStart w:id="7" w:name="_Toc30172"/>
      <w:r>
        <w:rPr>
          <w:rFonts w:hint="eastAsia" w:ascii="宋体" w:hAnsi="宋体" w:eastAsia="宋体" w:cs="宋体"/>
          <w:b/>
          <w:szCs w:val="21"/>
        </w:rPr>
        <w:t>（一）机械设备</w:t>
      </w:r>
      <w:bookmarkEnd w:id="3"/>
      <w:bookmarkEnd w:id="4"/>
      <w:bookmarkEnd w:id="5"/>
      <w:bookmarkEnd w:id="6"/>
    </w:p>
    <w:p>
      <w:pPr>
        <w:pStyle w:val="38"/>
        <w:keepNext/>
        <w:keepLines/>
        <w:widowControl/>
        <w:numPr>
          <w:ilvl w:val="0"/>
          <w:numId w:val="19"/>
        </w:numPr>
        <w:spacing w:line="360" w:lineRule="auto"/>
        <w:ind w:firstLine="420" w:firstLineChars="200"/>
        <w:outlineLvl w:val="2"/>
        <w:rPr>
          <w:rFonts w:hint="eastAsia" w:ascii="宋体" w:hAnsi="宋体" w:eastAsia="宋体" w:cs="宋体"/>
          <w:bCs/>
          <w:szCs w:val="21"/>
          <w:lang w:val="zh-CN"/>
        </w:rPr>
      </w:pPr>
      <w:r>
        <w:rPr>
          <w:rFonts w:hint="eastAsia" w:ascii="宋体" w:hAnsi="宋体" w:eastAsia="宋体" w:cs="宋体"/>
          <w:bCs/>
          <w:szCs w:val="21"/>
          <w:lang w:val="zh-CN"/>
        </w:rPr>
        <w:t>制造技术与材料</w:t>
      </w:r>
    </w:p>
    <w:p>
      <w:pPr>
        <w:widowControl/>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（1）中标人提供的所有设备及材料必须是全新的、先进的、从未使用过的。材质和设计加工方面无任何缺陷，且耗能低，使用寿命长，维修量低。</w:t>
      </w:r>
    </w:p>
    <w:p>
      <w:pPr>
        <w:widowControl/>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（2）所有设备必须依据最新、最佳的技术和工艺进行设计、制造与装配等工作。技术性能满足工厂的正常安全运行。设备的各部分零件应按标准的尺寸和规格制造，相同的零件应能互相更替。</w:t>
      </w:r>
    </w:p>
    <w:p>
      <w:pPr>
        <w:widowControl/>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（3）材质应适合各种操作情况，选择金属材料要考虑其强度、延伸性及耐用性。铸铁应结构致密，不得有气孔、缺陷和龟裂；承受应力的锻件应是细质的、均匀的。</w:t>
      </w:r>
    </w:p>
    <w:p>
      <w:pPr>
        <w:pStyle w:val="38"/>
        <w:keepNext/>
        <w:keepLines/>
        <w:widowControl/>
        <w:numPr>
          <w:ilvl w:val="0"/>
          <w:numId w:val="20"/>
        </w:numPr>
        <w:spacing w:line="360" w:lineRule="auto"/>
        <w:ind w:left="420"/>
        <w:outlineLvl w:val="2"/>
        <w:rPr>
          <w:rFonts w:hint="eastAsia" w:ascii="宋体" w:hAnsi="宋体" w:eastAsia="宋体" w:cs="宋体"/>
          <w:bCs/>
          <w:szCs w:val="21"/>
          <w:lang w:val="zh-CN"/>
        </w:rPr>
      </w:pPr>
      <w:r>
        <w:rPr>
          <w:rFonts w:hint="eastAsia" w:ascii="宋体" w:hAnsi="宋体" w:eastAsia="宋体" w:cs="宋体"/>
          <w:bCs/>
          <w:szCs w:val="21"/>
          <w:lang w:val="zh-CN"/>
        </w:rPr>
        <w:t>安全防护</w:t>
      </w:r>
    </w:p>
    <w:p>
      <w:pPr>
        <w:widowControl/>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（1）安全防护应为制造厂标准产品或电镀、镀锌金属片制造；每一防护设备应易于安装与拆卸，并须附有所需的支撑及附件；户外安全防护设备须能防止雨水溅入。</w:t>
      </w:r>
    </w:p>
    <w:p>
      <w:pPr>
        <w:widowControl/>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（2）表面有油漆者，应能防止冲击、磨损、褪色或其他损坏。</w:t>
      </w:r>
    </w:p>
    <w:p>
      <w:pPr>
        <w:pStyle w:val="38"/>
        <w:keepNext/>
        <w:keepLines/>
        <w:widowControl/>
        <w:numPr>
          <w:ilvl w:val="0"/>
          <w:numId w:val="21"/>
        </w:numPr>
        <w:spacing w:line="360" w:lineRule="auto"/>
        <w:ind w:left="420"/>
        <w:outlineLvl w:val="2"/>
        <w:rPr>
          <w:rFonts w:hint="eastAsia" w:ascii="宋体" w:hAnsi="宋体" w:eastAsia="宋体" w:cs="宋体"/>
          <w:bCs/>
          <w:szCs w:val="21"/>
          <w:lang w:val="zh-CN"/>
        </w:rPr>
      </w:pPr>
      <w:r>
        <w:rPr>
          <w:rFonts w:hint="eastAsia" w:ascii="宋体" w:hAnsi="宋体" w:eastAsia="宋体" w:cs="宋体"/>
          <w:bCs/>
          <w:szCs w:val="21"/>
          <w:lang w:val="zh-CN"/>
        </w:rPr>
        <w:t>设备基础和底座</w:t>
      </w:r>
    </w:p>
    <w:p>
      <w:pPr>
        <w:widowControl/>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除非另有规定，根据安装和使用的需求，设备应配有必要的高强度的铸铁或钢结构的底座，可安装在混凝土基础上。基础与底座应有支撑填塞垫、尖钉，并与结合体或相关设备排列配合，并须有足够的空间作为灌浆或电线管之用。所有钢板间的接口必须连续焊接及磨平。</w:t>
      </w:r>
    </w:p>
    <w:p>
      <w:pPr>
        <w:pStyle w:val="38"/>
        <w:keepNext/>
        <w:keepLines/>
        <w:widowControl/>
        <w:numPr>
          <w:ilvl w:val="0"/>
          <w:numId w:val="22"/>
        </w:numPr>
        <w:spacing w:line="360" w:lineRule="auto"/>
        <w:ind w:left="420"/>
        <w:outlineLvl w:val="2"/>
        <w:rPr>
          <w:rFonts w:hint="eastAsia" w:ascii="宋体" w:hAnsi="宋体" w:eastAsia="宋体" w:cs="宋体"/>
          <w:bCs/>
          <w:szCs w:val="21"/>
          <w:lang w:val="zh-CN"/>
        </w:rPr>
      </w:pPr>
      <w:r>
        <w:rPr>
          <w:rFonts w:hint="eastAsia" w:ascii="宋体" w:hAnsi="宋体" w:eastAsia="宋体" w:cs="宋体"/>
          <w:bCs/>
          <w:szCs w:val="21"/>
          <w:lang w:val="zh-CN"/>
        </w:rPr>
        <w:t>紧固件</w:t>
      </w:r>
    </w:p>
    <w:p>
      <w:pPr>
        <w:widowControl/>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中标人提供设备安装所需要的全部紧固件，包括调整螺栓、锚固螺栓、螺帽、垫圈和套管。紧固件的材质满足防腐和强度要求（如热浸锌螺栓、304不锈钢等）。如需采用化学螺栓，中标人必须免费提供所需的化学粘接剂以及安装所需的特殊工具。</w:t>
      </w:r>
    </w:p>
    <w:p>
      <w:pPr>
        <w:widowControl/>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为设备安装和土建施工方便，除特殊情况（现有膨胀螺栓或化学螺栓不能满足设备运行要求）外，所有的紧固件均采用膨胀螺栓或化学螺栓固定，中标人必须保证其紧固的强度符合运行要求。</w:t>
      </w:r>
    </w:p>
    <w:p>
      <w:pPr>
        <w:pStyle w:val="38"/>
        <w:keepNext/>
        <w:keepLines/>
        <w:widowControl/>
        <w:numPr>
          <w:ilvl w:val="0"/>
          <w:numId w:val="23"/>
        </w:numPr>
        <w:spacing w:line="360" w:lineRule="auto"/>
        <w:ind w:left="420"/>
        <w:outlineLvl w:val="2"/>
        <w:rPr>
          <w:rFonts w:hint="eastAsia" w:ascii="宋体" w:hAnsi="宋体" w:eastAsia="宋体" w:cs="宋体"/>
          <w:bCs/>
          <w:szCs w:val="21"/>
          <w:lang w:val="zh-CN"/>
        </w:rPr>
      </w:pPr>
      <w:r>
        <w:rPr>
          <w:rFonts w:hint="eastAsia" w:ascii="宋体" w:hAnsi="宋体" w:eastAsia="宋体" w:cs="宋体"/>
          <w:bCs/>
          <w:szCs w:val="21"/>
          <w:lang w:val="zh-CN"/>
        </w:rPr>
        <w:t>特殊工具与附属设备</w:t>
      </w:r>
    </w:p>
    <w:p>
      <w:pPr>
        <w:widowControl/>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中标人必须提供机械设备周期性维修与调整所需的特殊工具、仪表以及维护所需的附属设备。</w:t>
      </w:r>
    </w:p>
    <w:p>
      <w:pPr>
        <w:pStyle w:val="38"/>
        <w:keepNext/>
        <w:keepLines/>
        <w:widowControl/>
        <w:numPr>
          <w:ilvl w:val="0"/>
          <w:numId w:val="24"/>
        </w:numPr>
        <w:spacing w:line="360" w:lineRule="auto"/>
        <w:ind w:left="420"/>
        <w:outlineLvl w:val="2"/>
        <w:rPr>
          <w:rFonts w:hint="eastAsia" w:ascii="宋体" w:hAnsi="宋体" w:eastAsia="宋体" w:cs="宋体"/>
          <w:bCs/>
          <w:szCs w:val="21"/>
          <w:lang w:val="zh-CN"/>
        </w:rPr>
      </w:pPr>
      <w:r>
        <w:rPr>
          <w:rFonts w:hint="eastAsia" w:ascii="宋体" w:hAnsi="宋体" w:eastAsia="宋体" w:cs="宋体"/>
          <w:bCs/>
          <w:szCs w:val="21"/>
          <w:lang w:val="zh-CN"/>
        </w:rPr>
        <w:t>铭牌</w:t>
      </w:r>
    </w:p>
    <w:p>
      <w:pPr>
        <w:widowControl/>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设备的铭牌应当刻在或贴在金属片上，并紧固在设备外壳上，安装好后能清楚地看到。铭牌上写下述内容：</w:t>
      </w:r>
    </w:p>
    <w:p>
      <w:pPr>
        <w:widowControl/>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（1）制造厂名称。</w:t>
      </w:r>
    </w:p>
    <w:p>
      <w:pPr>
        <w:widowControl/>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（2）设备的机型及其规格、性能参数指标等。</w:t>
      </w:r>
    </w:p>
    <w:p>
      <w:pPr>
        <w:widowControl/>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（3）序列号。</w:t>
      </w:r>
    </w:p>
    <w:p>
      <w:pPr>
        <w:widowControl/>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（4）出厂年月。</w:t>
      </w:r>
    </w:p>
    <w:p>
      <w:pPr>
        <w:pStyle w:val="38"/>
        <w:keepNext/>
        <w:keepLines/>
        <w:widowControl/>
        <w:numPr>
          <w:ilvl w:val="0"/>
          <w:numId w:val="25"/>
        </w:numPr>
        <w:spacing w:line="360" w:lineRule="auto"/>
        <w:ind w:left="420"/>
        <w:outlineLvl w:val="2"/>
        <w:rPr>
          <w:rFonts w:hint="eastAsia" w:ascii="宋体" w:hAnsi="宋体" w:eastAsia="宋体" w:cs="宋体"/>
          <w:bCs/>
          <w:szCs w:val="21"/>
          <w:lang w:val="zh-CN"/>
        </w:rPr>
      </w:pPr>
      <w:r>
        <w:rPr>
          <w:rFonts w:hint="eastAsia" w:ascii="宋体" w:hAnsi="宋体" w:eastAsia="宋体" w:cs="宋体"/>
          <w:bCs/>
          <w:szCs w:val="21"/>
          <w:lang w:val="zh-CN"/>
        </w:rPr>
        <w:t>润滑</w:t>
      </w:r>
    </w:p>
    <w:p>
      <w:pPr>
        <w:widowControl/>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（1）机械设备在连续试运转期间应能进行润滑工作。润滑剂的种类应由中标人建议，并应提供足够试运行期间（最多不超过30天）连续运转所需用量。</w:t>
      </w:r>
    </w:p>
    <w:p>
      <w:pPr>
        <w:widowControl/>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（2）中标人应说明机械设备的润滑方式、每年所需的润滑剂量，并建议润滑时间。</w:t>
      </w:r>
    </w:p>
    <w:p>
      <w:pPr>
        <w:pStyle w:val="38"/>
        <w:keepNext/>
        <w:keepLines/>
        <w:widowControl/>
        <w:numPr>
          <w:ilvl w:val="0"/>
          <w:numId w:val="26"/>
        </w:numPr>
        <w:spacing w:line="360" w:lineRule="auto"/>
        <w:ind w:left="420"/>
        <w:outlineLvl w:val="2"/>
        <w:rPr>
          <w:rFonts w:hint="eastAsia" w:ascii="宋体" w:hAnsi="宋体" w:eastAsia="宋体" w:cs="宋体"/>
          <w:bCs/>
          <w:szCs w:val="21"/>
          <w:lang w:val="zh-CN"/>
        </w:rPr>
      </w:pPr>
      <w:r>
        <w:rPr>
          <w:rFonts w:hint="eastAsia" w:ascii="宋体" w:hAnsi="宋体" w:eastAsia="宋体" w:cs="宋体"/>
          <w:bCs/>
          <w:szCs w:val="21"/>
          <w:lang w:val="zh-CN"/>
        </w:rPr>
        <w:t>防潮措施</w:t>
      </w:r>
    </w:p>
    <w:p>
      <w:pPr>
        <w:widowControl/>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应该采取特别的预防措施，防止由于潮气、降雨和湿气而造成的腐蚀。</w:t>
      </w:r>
    </w:p>
    <w:p>
      <w:pPr>
        <w:widowControl/>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设备上所有的孔洞，都应有效地密封，以防止水的进入。所有暴露在空气中或水中的部件，均不得有集水装置，必要时应提供排水孔，防止积水。</w:t>
      </w:r>
    </w:p>
    <w:p>
      <w:pPr>
        <w:widowControl/>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kern w:val="0"/>
          <w:szCs w:val="21"/>
        </w:rPr>
        <w:t>安装于室外的</w:t>
      </w:r>
      <w:r>
        <w:rPr>
          <w:rFonts w:hint="eastAsia" w:ascii="宋体" w:hAnsi="宋体" w:eastAsia="宋体" w:cs="宋体"/>
          <w:szCs w:val="21"/>
        </w:rPr>
        <w:t>电机如果没有防止空气自由移动的密封装置，则应该配备防冷凝的加热装置，防止空气中的水汽凝结。通常这种加热装置，应该是恒温控制，当设备运行产生热量后，便自动断开。</w:t>
      </w:r>
    </w:p>
    <w:p>
      <w:pPr>
        <w:pStyle w:val="38"/>
        <w:keepNext/>
        <w:keepLines/>
        <w:widowControl/>
        <w:numPr>
          <w:ilvl w:val="0"/>
          <w:numId w:val="27"/>
        </w:numPr>
        <w:spacing w:line="360" w:lineRule="auto"/>
        <w:ind w:left="420"/>
        <w:outlineLvl w:val="2"/>
        <w:rPr>
          <w:rFonts w:hint="eastAsia" w:ascii="宋体" w:hAnsi="宋体" w:eastAsia="宋体" w:cs="宋体"/>
          <w:bCs/>
          <w:szCs w:val="21"/>
          <w:lang w:val="zh-CN"/>
        </w:rPr>
      </w:pPr>
      <w:r>
        <w:rPr>
          <w:rFonts w:hint="eastAsia" w:ascii="宋体" w:hAnsi="宋体" w:eastAsia="宋体" w:cs="宋体"/>
          <w:bCs/>
          <w:szCs w:val="21"/>
          <w:lang w:val="zh-CN"/>
        </w:rPr>
        <w:t>材料的防腐蚀</w:t>
      </w:r>
    </w:p>
    <w:p>
      <w:pPr>
        <w:widowControl/>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设备中所有在污水下运行的部件，或在污水、有毒有害气体界面中的部件，或那些与化学品直接接触的所有部件，应具有抗腐蚀性和抗侵蚀性能。上述部件如在保证期间内出现腐蚀的迹象应由中标人将其更换成具有防腐性能的、合格的防锈材料，以满足长期使用的要求。当调理池中投加自主药剂后，经过调理后的污泥pH值满足工况要求。</w:t>
      </w:r>
    </w:p>
    <w:p>
      <w:pPr>
        <w:widowControl/>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中标人应特别注意由于不同种类金属的紧密连接面引起的锈蚀问题，应防止此类问题发生。</w:t>
      </w:r>
    </w:p>
    <w:p>
      <w:pPr>
        <w:pStyle w:val="38"/>
        <w:keepNext/>
        <w:keepLines/>
        <w:widowControl/>
        <w:numPr>
          <w:ilvl w:val="0"/>
          <w:numId w:val="28"/>
        </w:numPr>
        <w:spacing w:line="360" w:lineRule="auto"/>
        <w:ind w:firstLine="420" w:firstLineChars="200"/>
        <w:outlineLvl w:val="2"/>
        <w:rPr>
          <w:rFonts w:hint="eastAsia" w:ascii="宋体" w:hAnsi="宋体" w:eastAsia="宋体" w:cs="宋体"/>
          <w:bCs/>
          <w:szCs w:val="21"/>
          <w:lang w:val="zh-CN"/>
        </w:rPr>
      </w:pPr>
      <w:r>
        <w:rPr>
          <w:rFonts w:hint="eastAsia" w:ascii="宋体" w:hAnsi="宋体" w:eastAsia="宋体" w:cs="宋体"/>
          <w:bCs/>
          <w:szCs w:val="21"/>
          <w:lang w:val="zh-CN"/>
        </w:rPr>
        <w:t>噪音和振动</w:t>
      </w:r>
    </w:p>
    <w:p>
      <w:pPr>
        <w:widowControl/>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在装置的设计中，应包括有关隔音材料、防震装置和其他适当的设施和设计，以保证设备在最终安装位置运行时，在厂区内（车间外）任意一点听到机械噪声，都不能大于85分贝。</w:t>
      </w:r>
    </w:p>
    <w:p>
      <w:pPr>
        <w:widowControl/>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所有传动部件，均必须做静平衡和动平衡，以便在部件在加速运行、全速运行以及在最大负荷状态运行的任意一种情况，机器本身的任何部位以及机器相邻的任何结构，都没有超过标准规定的振动要求值。</w:t>
      </w:r>
    </w:p>
    <w:p>
      <w:pPr>
        <w:widowControl/>
        <w:snapToGrid w:val="0"/>
        <w:spacing w:line="360" w:lineRule="auto"/>
        <w:ind w:firstLine="420"/>
        <w:outlineLvl w:val="1"/>
        <w:rPr>
          <w:rFonts w:hint="eastAsia" w:ascii="宋体" w:hAnsi="宋体" w:eastAsia="宋体" w:cs="宋体"/>
          <w:b/>
          <w:szCs w:val="21"/>
        </w:rPr>
      </w:pPr>
      <w:r>
        <w:rPr>
          <w:rFonts w:hint="eastAsia" w:ascii="宋体" w:hAnsi="宋体" w:eastAsia="宋体" w:cs="宋体"/>
          <w:b/>
          <w:szCs w:val="21"/>
        </w:rPr>
        <w:t>（二）旋转电机技术要求</w:t>
      </w:r>
    </w:p>
    <w:p>
      <w:pPr>
        <w:widowControl/>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中标人必须选择并提供与机械相配的所有电动机。</w:t>
      </w:r>
    </w:p>
    <w:p>
      <w:pPr>
        <w:widowControl/>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★电动机的设计、制造、安装、测试应服从IEC和国家标准，</w:t>
      </w:r>
      <w:r>
        <w:rPr>
          <w:rFonts w:hint="eastAsia" w:ascii="宋体" w:hAnsi="宋体" w:eastAsia="宋体" w:cs="宋体"/>
          <w:kern w:val="0"/>
          <w:szCs w:val="21"/>
        </w:rPr>
        <w:t>定速电机效率不低于《GB18613—2020电动机能效限定及能效等级》二级能效要求</w:t>
      </w:r>
      <w:r>
        <w:rPr>
          <w:rFonts w:hint="eastAsia" w:ascii="宋体" w:hAnsi="宋体" w:eastAsia="宋体" w:cs="宋体"/>
          <w:szCs w:val="21"/>
        </w:rPr>
        <w:t>。</w:t>
      </w:r>
    </w:p>
    <w:p>
      <w:pPr>
        <w:widowControl/>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（1）每一电动机的机械特性，必须适合被驱动设备的负载特性。除另有注明者外，电动机应为笼型交流异步感应电动机。</w:t>
      </w:r>
    </w:p>
    <w:p>
      <w:pPr>
        <w:widowControl/>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（2）电动机功率</w:t>
      </w:r>
    </w:p>
    <w:p>
      <w:pPr>
        <w:widowControl/>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电动机功率不得小于每个被驱动机械在驱动范围内所需功率，其储备系数须为1.3。</w:t>
      </w:r>
    </w:p>
    <w:p>
      <w:pPr>
        <w:widowControl/>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电动机功率小于30kW时，采用直接启动，等于或大于30kW时，采用软启动方式。</w:t>
      </w:r>
    </w:p>
    <w:p>
      <w:pPr>
        <w:widowControl/>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如所估最低功率不足以符合上述要求或其他需要，中标人应提供较大功率的电动机，因增加电动机功率而引起的一切变更，如增加起动器电流、增大的电气开关、增加导管及导线等，均应由中标人自行负责。</w:t>
      </w:r>
    </w:p>
    <w:p>
      <w:pPr>
        <w:widowControl/>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电动机为三相交流380V/50Hz，电动机在满负荷时最低保证效率为95%，中标人应指明每台电动机精确的功率损耗，电动机在正常情况下运行，其功率均不会超过铭牌上规定的额定功率。</w:t>
      </w:r>
    </w:p>
    <w:p>
      <w:pPr>
        <w:widowControl/>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（3）施工与标准件</w:t>
      </w:r>
    </w:p>
    <w:p>
      <w:pPr>
        <w:widowControl/>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所有电动机必须依照最新版中国国家标准（或IEC标准）或等同的其他标准而设计、制造、试车及测试。</w:t>
      </w:r>
    </w:p>
    <w:p>
      <w:pPr>
        <w:widowControl/>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每部电动机须安装一个永久性、不会腐蚀的铭牌，该铭牌应安装在明显位置，所有的电动机资料均应以中文记载在铭牌上。</w:t>
      </w:r>
    </w:p>
    <w:p>
      <w:pPr>
        <w:widowControl/>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如电源电压小于电动机铭牌记载电压的10%，该电动机也必须有足够的扭力。</w:t>
      </w:r>
    </w:p>
    <w:p>
      <w:pPr>
        <w:widowControl/>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除非另有注明，所有电动机在满载时须能连续运转。</w:t>
      </w:r>
    </w:p>
    <w:p>
      <w:pPr>
        <w:widowControl/>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所有安装在室外的电动机必须是全密闭式，风扇冷却型，外壳防护等级不低于IP55。</w:t>
      </w:r>
    </w:p>
    <w:p>
      <w:pPr>
        <w:widowControl/>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所有安装在室内的电动机，除另有规定使用全密闭式风扇冷却型外，其余使用防滴型，外壳防护等级不低于IP55。</w:t>
      </w:r>
    </w:p>
    <w:p>
      <w:pPr>
        <w:widowControl/>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（4）绝缘等级与温升</w:t>
      </w:r>
    </w:p>
    <w:p>
      <w:pPr>
        <w:widowControl/>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每部电动机必须有IEC标准或等同标准规定的F级或接近H级材质绝缘。</w:t>
      </w:r>
    </w:p>
    <w:p>
      <w:pPr>
        <w:widowControl/>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为使电动机能有一较长的使用寿命，当电动机在满载而不超载连续运转的情况下，该电动机的升温必须不超过GB755—2000或等同标准绝缘材质所规定的限度。</w:t>
      </w:r>
    </w:p>
    <w:p>
      <w:pPr>
        <w:widowControl/>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电动机周围的气温加上运转时温度上升的总温度不得超过采用标准所规定的限度。（场地白天气温可能高达40℃）</w:t>
      </w:r>
    </w:p>
    <w:p>
      <w:pPr>
        <w:widowControl/>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设备运到现场后，电动机绝缘必须依照采用的标准规定的方法进行试验，如电动机有任何缺陷或绝缘抵抗力未达到标准规定，中标人必须无偿更换一部新电动机。</w:t>
      </w:r>
    </w:p>
    <w:p>
      <w:pPr>
        <w:widowControl/>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电动机绕组应是由绝缘铜线绕制的、经真空压力浸漆的绝缘线圈，绝缘等级为F级，绕组温升等级为B级，最大工作温度可达155℃。</w:t>
      </w:r>
    </w:p>
    <w:p>
      <w:pPr>
        <w:widowControl/>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（5）电流平衡</w:t>
      </w:r>
    </w:p>
    <w:p>
      <w:pPr>
        <w:widowControl/>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当电动机在其正常使用范围内之任何负载情况下运转，且是一个平衡电压供给系统时，多相电动机各极的不平衡电流不得超过以下所列数值：</w:t>
      </w:r>
    </w:p>
    <w:p>
      <w:pPr>
        <w:widowControl/>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30kW以下5%（不平衡度）</w:t>
      </w:r>
    </w:p>
    <w:p>
      <w:pPr>
        <w:widowControl/>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30kW或以上2%（不平衡度）</w:t>
      </w:r>
    </w:p>
    <w:p>
      <w:pPr>
        <w:widowControl/>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虽然不平衡电流小于上表所列，但如果不平衡电流仍引起机械振动，中标人应负责修正该问题。</w:t>
      </w:r>
    </w:p>
    <w:p>
      <w:pPr>
        <w:widowControl/>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（6）其他</w:t>
      </w:r>
    </w:p>
    <w:p>
      <w:pPr>
        <w:widowControl/>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所有电动机应有外壳、轴承托架、风扇盖以及电线管，防水和完全密闭式电动机，在电动机接线盒与电线管之间必须安装有硅质橡胶衬垫。</w:t>
      </w:r>
    </w:p>
    <w:p>
      <w:pPr>
        <w:widowControl/>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所有金属零件必须抗腐蚀，电动机必须依照制造厂商的标准涂装。</w:t>
      </w:r>
    </w:p>
    <w:p>
      <w:pPr>
        <w:widowControl/>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电动机的风扇为耐腐蚀材质，须适合任何方向的旋转，并且在装配经过精确的平衡。风扇外壳不得采用非金属材料。</w:t>
      </w:r>
    </w:p>
    <w:p>
      <w:pPr>
        <w:widowControl/>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电动机的转子须经过动平衡校正，最大振幅在低于1800rpm时，不得超过0.04mm；在同步转速为3600rpm时，不得超过0.03mm。</w:t>
      </w:r>
    </w:p>
    <w:p>
      <w:pPr>
        <w:widowControl/>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电动机能在频率为49～51Hz/s，电压在正常额定电压下波动5%变化中连续运行。</w:t>
      </w:r>
    </w:p>
    <w:p>
      <w:pPr>
        <w:widowControl/>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当频率正常而电压为0.8ue时，电动机和接触器能继续运行5min，而不产生有害过热，且能在相间电压产生2%的不平衡电压情况下继续运行。</w:t>
      </w:r>
    </w:p>
    <w:p>
      <w:pPr>
        <w:widowControl/>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应保证电动机额定负荷条件下的功率因数不低于0.85。</w:t>
      </w:r>
    </w:p>
    <w:p>
      <w:pPr>
        <w:widowControl/>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要求电动机为低噪声，符合IEC和中国标准。</w:t>
      </w:r>
    </w:p>
    <w:p>
      <w:pPr>
        <w:widowControl/>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电动机全部轴承都要求带有润滑油或润滑剂。</w:t>
      </w:r>
    </w:p>
    <w:p>
      <w:pPr>
        <w:widowControl/>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要求电动机外壳带有提升环和接地螺丝。</w:t>
      </w:r>
    </w:p>
    <w:p>
      <w:pPr>
        <w:widowControl/>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大、中型的电动机要求必须带定子测温元件，将这些热传感元件接点串至保护或控制回路，如超过所规定的温度，将不允许电动机运转，而当温度降至规定温度时，测温传感器自动复位。</w:t>
      </w:r>
    </w:p>
    <w:p>
      <w:pPr>
        <w:widowControl/>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电缆接线盒与电动机的外壳框架稳固安装在一起或铸为一体，全封闭防水、防潮、防盐雾、耐腐蚀，经得起冲撞，盒内应有联接电动机绕组抽头的端子，它们是大小适当的双头螺钉，且按标准标明端子之间的关系，电缆是由接线盒的底部进入并用密封垫圈加以密封，用于电动机绕组测温元件引出的接点端子应与电动机绕组电缆接线的端子适当隔离。</w:t>
      </w:r>
    </w:p>
    <w:p>
      <w:pPr>
        <w:widowControl/>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所有电动机都要根据要求对外壳进行接地，接地线和接地端子由中标人随每台电动机设备一起提供。</w:t>
      </w:r>
    </w:p>
    <w:p>
      <w:pPr>
        <w:widowControl/>
        <w:snapToGrid w:val="0"/>
        <w:spacing w:line="360" w:lineRule="auto"/>
        <w:ind w:firstLine="420"/>
        <w:outlineLvl w:val="1"/>
        <w:rPr>
          <w:rFonts w:hint="eastAsia" w:ascii="宋体" w:hAnsi="宋体" w:eastAsia="宋体" w:cs="宋体"/>
          <w:b/>
          <w:szCs w:val="21"/>
        </w:rPr>
      </w:pPr>
      <w:r>
        <w:rPr>
          <w:rFonts w:hint="eastAsia" w:ascii="宋体" w:hAnsi="宋体" w:eastAsia="宋体" w:cs="宋体"/>
          <w:b/>
          <w:szCs w:val="21"/>
        </w:rPr>
        <w:t>（三）电气仪表的技术服务工作</w:t>
      </w:r>
    </w:p>
    <w:p>
      <w:pPr>
        <w:pStyle w:val="38"/>
        <w:keepNext/>
        <w:keepLines/>
        <w:widowControl/>
        <w:numPr>
          <w:ilvl w:val="0"/>
          <w:numId w:val="29"/>
        </w:numPr>
        <w:spacing w:line="360" w:lineRule="auto"/>
        <w:ind w:firstLine="420" w:firstLineChars="200"/>
        <w:outlineLvl w:val="2"/>
        <w:rPr>
          <w:rFonts w:hint="eastAsia" w:ascii="宋体" w:hAnsi="宋体" w:eastAsia="宋体" w:cs="宋体"/>
          <w:bCs/>
          <w:szCs w:val="21"/>
          <w:lang w:val="zh-CN"/>
        </w:rPr>
      </w:pPr>
      <w:r>
        <w:rPr>
          <w:rFonts w:hint="eastAsia" w:ascii="宋体" w:hAnsi="宋体" w:eastAsia="宋体" w:cs="宋体"/>
          <w:bCs/>
          <w:szCs w:val="21"/>
          <w:lang w:val="zh-CN"/>
        </w:rPr>
        <w:t>电气及仪表安装的技术服务工作</w:t>
      </w:r>
    </w:p>
    <w:p>
      <w:pPr>
        <w:widowControl/>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（1）中标人根据招标文件规定应负责整个招标文件内系统的供货及指导安装。</w:t>
      </w:r>
    </w:p>
    <w:p>
      <w:pPr>
        <w:widowControl/>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（2）中标人应提供并安装为压紧、固定、定位等所需的安装用铁轨、螺栓、铁条、夹紧件、撑架支持用的铁件、底板。</w:t>
      </w:r>
    </w:p>
    <w:p>
      <w:pPr>
        <w:widowControl/>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（3）安装所需的预埋件，按照“第一部分项目概况——采购范围”中关于预埋件设计制造及安装的相关要求执行。</w:t>
      </w:r>
    </w:p>
    <w:p>
      <w:pPr>
        <w:pStyle w:val="38"/>
        <w:keepNext/>
        <w:keepLines/>
        <w:widowControl/>
        <w:numPr>
          <w:ilvl w:val="0"/>
          <w:numId w:val="30"/>
        </w:numPr>
        <w:spacing w:line="360" w:lineRule="auto"/>
        <w:ind w:left="420"/>
        <w:outlineLvl w:val="2"/>
        <w:rPr>
          <w:rFonts w:hint="eastAsia" w:ascii="宋体" w:hAnsi="宋体" w:eastAsia="宋体" w:cs="宋体"/>
          <w:bCs/>
          <w:szCs w:val="21"/>
          <w:lang w:val="zh-CN"/>
        </w:rPr>
      </w:pPr>
      <w:r>
        <w:rPr>
          <w:rFonts w:hint="eastAsia" w:ascii="宋体" w:hAnsi="宋体" w:eastAsia="宋体" w:cs="宋体"/>
          <w:bCs/>
          <w:szCs w:val="21"/>
          <w:lang w:val="zh-CN"/>
        </w:rPr>
        <w:t>电气及仪表试运行的技术服务</w:t>
      </w:r>
    </w:p>
    <w:p>
      <w:pPr>
        <w:widowControl/>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1）中标人应当保证，所有提供的设备，在制造上以及元器件上都是符合标准规定的，除另有规定外，在验收合格后的一年内，如发现隐害或质量问题，中标人应毫不拖延地修复任一部位发生的故障或带来的危害，使其符合规定要求，其费用应当由中标人负责。如因其危害带来的损失或由此引起的其他部分损失，其费用也应由中标人负责。</w:t>
      </w:r>
    </w:p>
    <w:p>
      <w:pPr>
        <w:widowControl/>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2）设备安装工作完成，且工况良好，经招标方同意，进入试运行性能测试工作，在招标方的监督下，对系统进行不超过7天的运行性能测试工作。在检测过程中如发现设备性能与原定要求有所偏离时，应由中标人负责解决。</w:t>
      </w:r>
    </w:p>
    <w:p>
      <w:pPr>
        <w:widowControl/>
        <w:snapToGrid w:val="0"/>
        <w:spacing w:line="360" w:lineRule="auto"/>
        <w:ind w:firstLine="420"/>
        <w:outlineLvl w:val="1"/>
        <w:rPr>
          <w:rFonts w:hint="eastAsia" w:ascii="宋体" w:hAnsi="宋体" w:eastAsia="宋体" w:cs="宋体"/>
          <w:b/>
          <w:szCs w:val="21"/>
        </w:rPr>
      </w:pPr>
      <w:r>
        <w:rPr>
          <w:rFonts w:hint="eastAsia" w:ascii="宋体" w:hAnsi="宋体" w:eastAsia="宋体" w:cs="宋体"/>
          <w:b/>
          <w:szCs w:val="21"/>
        </w:rPr>
        <w:t>（四）防蚀与涂装</w:t>
      </w:r>
    </w:p>
    <w:p>
      <w:pPr>
        <w:pStyle w:val="38"/>
        <w:keepNext/>
        <w:keepLines/>
        <w:widowControl/>
        <w:numPr>
          <w:ilvl w:val="0"/>
          <w:numId w:val="31"/>
        </w:numPr>
        <w:spacing w:line="360" w:lineRule="auto"/>
        <w:ind w:firstLine="420" w:firstLineChars="200"/>
        <w:outlineLvl w:val="2"/>
        <w:rPr>
          <w:rFonts w:hint="eastAsia" w:ascii="宋体" w:hAnsi="宋体" w:eastAsia="宋体" w:cs="宋体"/>
          <w:bCs/>
          <w:szCs w:val="21"/>
          <w:lang w:val="zh-CN"/>
        </w:rPr>
      </w:pPr>
      <w:r>
        <w:rPr>
          <w:rFonts w:hint="eastAsia" w:ascii="宋体" w:hAnsi="宋体" w:eastAsia="宋体" w:cs="宋体"/>
          <w:bCs/>
          <w:szCs w:val="21"/>
          <w:lang w:val="zh-CN"/>
        </w:rPr>
        <w:t>工厂内涂装</w:t>
      </w:r>
    </w:p>
    <w:p>
      <w:pPr>
        <w:widowControl/>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（1）除非另有规定，所有机械和电气的设备，以及黑色金属所制造的设备，都应在制作现场进行涂装。</w:t>
      </w:r>
    </w:p>
    <w:p>
      <w:pPr>
        <w:widowControl/>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除非另有规定，设备的表面防腐处理可以根据中标人的设备防护涂层系统进行工程准备、打光和完成涂层，要求设备的表面防腐处理应具有优良的耐腐蚀性，中标人应提供该设备表面处理的方法、涂层名称及厚度等技术说明，并提供防腐寿命的年限。</w:t>
      </w:r>
    </w:p>
    <w:p>
      <w:pPr>
        <w:widowControl/>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工厂涂装过的构件，要等到干燥期结束后，才可搬运。工厂内的涂装包括除锈打底漆和涂面漆。</w:t>
      </w:r>
    </w:p>
    <w:p>
      <w:pPr>
        <w:widowControl/>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（2）所有的构造钢件、金属外壳以及其他的黑色金属构件，应当在工厂内除锈打底漆。</w:t>
      </w:r>
    </w:p>
    <w:p>
      <w:pPr>
        <w:widowControl/>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drawing>
          <wp:anchor distT="0" distB="0" distL="114300" distR="114300" simplePos="0" relativeHeight="251659264" behindDoc="0" locked="0" layoutInCell="1" allowOverlap="1">
            <wp:simplePos x="0" y="0"/>
            <wp:positionH relativeFrom="column">
              <wp:posOffset>219075</wp:posOffset>
            </wp:positionH>
            <wp:positionV relativeFrom="paragraph">
              <wp:posOffset>2150745</wp:posOffset>
            </wp:positionV>
            <wp:extent cx="5267325" cy="1704975"/>
            <wp:effectExtent l="0" t="0" r="9525" b="9525"/>
            <wp:wrapTopAndBottom/>
            <wp:docPr id="724472110" name="图片 724472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4472110" name="图片 724472110"/>
                    <pic:cNvPicPr>
                      <a:picLocks noChangeAspect="1"/>
                    </pic:cNvPicPr>
                  </pic:nvPicPr>
                  <pic:blipFill>
                    <a:blip r:embed="rId5"/>
                    <a:stretch>
                      <a:fillRect/>
                    </a:stretch>
                  </pic:blipFill>
                  <pic:spPr>
                    <a:xfrm>
                      <a:off x="0" y="0"/>
                      <a:ext cx="5267325" cy="1704975"/>
                    </a:xfrm>
                    <a:prstGeom prst="rect">
                      <a:avLst/>
                    </a:prstGeom>
                    <a:noFill/>
                    <a:ln>
                      <a:noFill/>
                    </a:ln>
                  </pic:spPr>
                </pic:pic>
              </a:graphicData>
            </a:graphic>
          </wp:anchor>
        </w:drawing>
      </w:r>
      <w:r>
        <w:rPr>
          <w:rFonts w:hint="eastAsia" w:ascii="宋体" w:hAnsi="宋体" w:eastAsia="宋体" w:cs="宋体"/>
          <w:szCs w:val="21"/>
        </w:rPr>
        <w:t>（3）工厂内涂装面层习惯上要做搪瓷表层的所有设备，或者需要做标准性工厂内的最后一道面层的所有设备，都应很好地进行涂装，以增强海洋运输或存放期过长时的保护作用。</w:t>
      </w:r>
    </w:p>
    <w:p>
      <w:pPr>
        <w:pStyle w:val="38"/>
        <w:keepNext/>
        <w:keepLines/>
        <w:widowControl/>
        <w:numPr>
          <w:ilvl w:val="0"/>
          <w:numId w:val="32"/>
        </w:numPr>
        <w:spacing w:line="360" w:lineRule="auto"/>
        <w:ind w:left="420"/>
        <w:outlineLvl w:val="2"/>
        <w:rPr>
          <w:rFonts w:hint="eastAsia" w:ascii="宋体" w:hAnsi="宋体" w:eastAsia="宋体" w:cs="宋体"/>
          <w:bCs/>
          <w:szCs w:val="21"/>
          <w:lang w:val="zh-CN"/>
        </w:rPr>
      </w:pPr>
      <w:r>
        <w:rPr>
          <w:rFonts w:hint="eastAsia" w:ascii="宋体" w:hAnsi="宋体" w:eastAsia="宋体" w:cs="宋体"/>
          <w:bCs/>
          <w:szCs w:val="21"/>
          <w:lang w:val="zh-CN"/>
        </w:rPr>
        <w:t>涂料体系标准</w:t>
      </w:r>
    </w:p>
    <w:p>
      <w:pPr>
        <w:widowControl/>
        <w:snapToGrid w:val="0"/>
        <w:spacing w:line="360" w:lineRule="auto"/>
        <w:ind w:firstLine="420" w:firstLineChars="200"/>
        <w:rPr>
          <w:rFonts w:hint="eastAsia" w:ascii="宋体" w:hAnsi="宋体" w:eastAsia="宋体" w:cs="宋体"/>
          <w:szCs w:val="21"/>
        </w:rPr>
      </w:pPr>
      <w:r>
        <w:rPr>
          <w:rFonts w:hint="eastAsia" w:ascii="宋体" w:hAnsi="宋体" w:eastAsia="宋体" w:cs="宋体"/>
          <w:bCs/>
          <w:szCs w:val="21"/>
        </w:rPr>
        <w:t>本招标文件所规定的需进行的涂料体系，都要进行涂装前的表面处理工作。</w:t>
      </w:r>
      <w:r>
        <w:rPr>
          <w:rFonts w:hint="eastAsia" w:ascii="宋体" w:hAnsi="宋体" w:eastAsia="宋体" w:cs="宋体"/>
          <w:szCs w:val="21"/>
        </w:rPr>
        <w:t>表面处理应遵守中国标准GB8923—2008的规定或国际上等同或优于标准，粗糙度不超过100μm。</w:t>
      </w:r>
    </w:p>
    <w:p>
      <w:pPr>
        <w:widowControl/>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体系A（环氧树脂漆体系）</w:t>
      </w:r>
    </w:p>
    <w:p>
      <w:pPr>
        <w:widowControl/>
        <w:snapToGrid w:val="0"/>
        <w:spacing w:line="360" w:lineRule="auto"/>
        <w:ind w:firstLine="420" w:firstLineChars="200"/>
        <w:rPr>
          <w:rFonts w:hint="eastAsia" w:ascii="宋体" w:hAnsi="宋体" w:eastAsia="宋体" w:cs="宋体"/>
          <w:szCs w:val="21"/>
        </w:rPr>
      </w:pPr>
    </w:p>
    <w:p>
      <w:pPr>
        <w:widowControl/>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drawing>
          <wp:anchor distT="0" distB="0" distL="114300" distR="114300" simplePos="0" relativeHeight="251660288" behindDoc="0" locked="0" layoutInCell="1" allowOverlap="1">
            <wp:simplePos x="0" y="0"/>
            <wp:positionH relativeFrom="column">
              <wp:posOffset>219075</wp:posOffset>
            </wp:positionH>
            <wp:positionV relativeFrom="paragraph">
              <wp:posOffset>588645</wp:posOffset>
            </wp:positionV>
            <wp:extent cx="5267325" cy="1514475"/>
            <wp:effectExtent l="0" t="0" r="9525" b="9525"/>
            <wp:wrapTopAndBottom/>
            <wp:docPr id="1010906439" name="图片 10109064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0906439" name="图片 1010906439"/>
                    <pic:cNvPicPr>
                      <a:picLocks noChangeAspect="1"/>
                    </pic:cNvPicPr>
                  </pic:nvPicPr>
                  <pic:blipFill>
                    <a:blip r:embed="rId6"/>
                    <a:stretch>
                      <a:fillRect/>
                    </a:stretch>
                  </pic:blipFill>
                  <pic:spPr>
                    <a:xfrm>
                      <a:off x="0" y="0"/>
                      <a:ext cx="5267325" cy="1514475"/>
                    </a:xfrm>
                    <a:prstGeom prst="rect">
                      <a:avLst/>
                    </a:prstGeom>
                    <a:noFill/>
                    <a:ln>
                      <a:noFill/>
                    </a:ln>
                  </pic:spPr>
                </pic:pic>
              </a:graphicData>
            </a:graphic>
          </wp:anchor>
        </w:drawing>
      </w:r>
      <w:r>
        <w:rPr>
          <w:rFonts w:hint="eastAsia" w:ascii="宋体" w:hAnsi="宋体" w:eastAsia="宋体" w:cs="宋体"/>
          <w:szCs w:val="21"/>
        </w:rPr>
        <w:t>体系B（沥青环氧树脂漆体系）</w:t>
      </w:r>
    </w:p>
    <w:p>
      <w:pPr>
        <w:widowControl/>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体系C（镀锌面的涂料体系）</w:t>
      </w:r>
    </w:p>
    <w:p>
      <w:pPr>
        <w:widowControl/>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1）表面处理和底漆。表面应当无潮气，无尘埃和其他的污染物质，应当用溶剂清洁剂来洗净表面，缺损的镀锌表面可用手动或电动的工具来刷净，应当遵守GB8923—2008或等同标准的规定来做表面处理和涂上蚀刻底漆，干化后的蚀刻底漆最小厚度为20μm。</w:t>
      </w:r>
    </w:p>
    <w:p>
      <w:pPr>
        <w:widowControl/>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（2）涂层。表面处理过程结束后，体系A、B、C的涂料层即可实施，除非另有说明。</w:t>
      </w:r>
    </w:p>
    <w:p>
      <w:pPr>
        <w:pStyle w:val="38"/>
        <w:keepNext/>
        <w:keepLines/>
        <w:widowControl/>
        <w:numPr>
          <w:ilvl w:val="0"/>
          <w:numId w:val="33"/>
        </w:numPr>
        <w:spacing w:line="360" w:lineRule="auto"/>
        <w:ind w:left="420"/>
        <w:outlineLvl w:val="2"/>
        <w:rPr>
          <w:rFonts w:hint="eastAsia" w:ascii="宋体" w:hAnsi="宋体" w:eastAsia="宋体" w:cs="宋体"/>
          <w:bCs/>
          <w:szCs w:val="21"/>
          <w:lang w:val="zh-CN"/>
        </w:rPr>
      </w:pPr>
      <w:r>
        <w:rPr>
          <w:rFonts w:hint="eastAsia" w:ascii="宋体" w:hAnsi="宋体" w:eastAsia="宋体" w:cs="宋体"/>
          <w:bCs/>
          <w:szCs w:val="21"/>
          <w:lang w:val="zh-CN"/>
        </w:rPr>
        <w:t>涂装范围</w:t>
      </w:r>
    </w:p>
    <w:p>
      <w:pPr>
        <w:widowControl/>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前面规定的涂料体系，应当敷于下列的物体和表面上（除非另有规定）：</w:t>
      </w:r>
    </w:p>
    <w:p>
      <w:pPr>
        <w:widowControl/>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（1）在腐蚀环境下，室内服务的未镀锌黑色金属表面，如脱水机房、加药间和管沟及其他规定的地方：使用体系A。</w:t>
      </w:r>
    </w:p>
    <w:p>
      <w:pPr>
        <w:widowControl/>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（2）浸入水中或间断浸水的钢表面（除不锈钢外）：使用体系B。</w:t>
      </w:r>
    </w:p>
    <w:p>
      <w:pPr>
        <w:widowControl/>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（3）浸入水中或间断浸入水中的镀锌钢表面：使用体系C再加体系B。</w:t>
      </w:r>
    </w:p>
    <w:p>
      <w:pPr>
        <w:pStyle w:val="38"/>
        <w:keepNext/>
        <w:keepLines/>
        <w:widowControl/>
        <w:numPr>
          <w:ilvl w:val="0"/>
          <w:numId w:val="34"/>
        </w:numPr>
        <w:spacing w:line="360" w:lineRule="auto"/>
        <w:ind w:left="420"/>
        <w:outlineLvl w:val="2"/>
        <w:rPr>
          <w:rFonts w:hint="eastAsia" w:ascii="宋体" w:hAnsi="宋体" w:eastAsia="宋体" w:cs="宋体"/>
          <w:bCs/>
          <w:szCs w:val="21"/>
          <w:lang w:val="zh-CN"/>
        </w:rPr>
      </w:pPr>
      <w:r>
        <w:rPr>
          <w:rFonts w:hint="eastAsia" w:ascii="宋体" w:hAnsi="宋体" w:eastAsia="宋体" w:cs="宋体"/>
          <w:bCs/>
          <w:szCs w:val="21"/>
          <w:lang w:val="zh-CN"/>
        </w:rPr>
        <w:t>涂装表面</w:t>
      </w:r>
    </w:p>
    <w:p>
      <w:pPr>
        <w:widowControl/>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应当采取保护措施，使油漆后的表面不遭受撞击、摩擦、褪色以及其他因素的损伤，在设备被验收前所遭到的损坏，应当消除后再加涂，直到取得招标方的同意后，才算合格。</w:t>
      </w:r>
    </w:p>
    <w:p>
      <w:pPr>
        <w:widowControl/>
        <w:snapToGrid w:val="0"/>
        <w:spacing w:line="360" w:lineRule="auto"/>
        <w:ind w:firstLine="420"/>
        <w:outlineLvl w:val="1"/>
        <w:rPr>
          <w:rFonts w:hint="eastAsia" w:ascii="宋体" w:hAnsi="宋体" w:eastAsia="宋体" w:cs="宋体"/>
          <w:b/>
          <w:szCs w:val="21"/>
        </w:rPr>
      </w:pPr>
      <w:r>
        <w:rPr>
          <w:rFonts w:hint="eastAsia" w:ascii="宋体" w:hAnsi="宋体" w:eastAsia="宋体" w:cs="宋体"/>
          <w:b/>
          <w:szCs w:val="21"/>
        </w:rPr>
        <w:t>（五）法兰和螺纹</w:t>
      </w:r>
    </w:p>
    <w:p>
      <w:pPr>
        <w:pStyle w:val="38"/>
        <w:widowControl/>
        <w:numPr>
          <w:ilvl w:val="0"/>
          <w:numId w:val="35"/>
        </w:numPr>
        <w:adjustRightInd w:val="0"/>
        <w:snapToGrid w:val="0"/>
        <w:spacing w:line="360" w:lineRule="auto"/>
        <w:ind w:firstLine="420" w:firstLineChars="200"/>
        <w:outlineLvl w:val="2"/>
        <w:rPr>
          <w:rFonts w:hint="eastAsia" w:ascii="宋体" w:hAnsi="宋体" w:eastAsia="宋体" w:cs="宋体"/>
          <w:szCs w:val="21"/>
        </w:rPr>
      </w:pPr>
      <w:r>
        <w:rPr>
          <w:rFonts w:hint="eastAsia" w:ascii="宋体" w:hAnsi="宋体" w:eastAsia="宋体" w:cs="宋体"/>
          <w:szCs w:val="21"/>
        </w:rPr>
        <w:t>法兰接口</w:t>
      </w:r>
    </w:p>
    <w:p>
      <w:pPr>
        <w:widowControl/>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中标人供货设备及管道之间的法兰连接，其规格必须符合GB9113.1—2000标准，并由中标人负责提供完整法兰接口的用品，即密封垫、螺栓和螺栓帽等。密封垫片的材质和厚度应能满足密封性并有较长的使用寿命和耐腐蚀、耐老化性能。密封垫片应当切成适当的尺寸，使垫片不伸出法兰的外周。在装垫片以前，法兰面要彻底清洗。</w:t>
      </w:r>
    </w:p>
    <w:p>
      <w:pPr>
        <w:pStyle w:val="38"/>
        <w:widowControl/>
        <w:numPr>
          <w:ilvl w:val="0"/>
          <w:numId w:val="36"/>
        </w:numPr>
        <w:adjustRightInd w:val="0"/>
        <w:snapToGrid w:val="0"/>
        <w:spacing w:line="360" w:lineRule="auto"/>
        <w:ind w:left="420"/>
        <w:outlineLvl w:val="2"/>
        <w:rPr>
          <w:rFonts w:hint="eastAsia" w:ascii="宋体" w:hAnsi="宋体" w:eastAsia="宋体" w:cs="宋体"/>
          <w:szCs w:val="21"/>
        </w:rPr>
      </w:pPr>
      <w:r>
        <w:rPr>
          <w:rFonts w:hint="eastAsia" w:ascii="宋体" w:hAnsi="宋体" w:eastAsia="宋体" w:cs="宋体"/>
          <w:szCs w:val="21"/>
        </w:rPr>
        <w:t>螺纹接口</w:t>
      </w:r>
    </w:p>
    <w:p>
      <w:pPr>
        <w:widowControl/>
        <w:adjustRightInd w:val="0"/>
        <w:snapToGrid w:val="0"/>
        <w:spacing w:line="360" w:lineRule="auto"/>
        <w:rPr>
          <w:rFonts w:hint="eastAsia" w:ascii="宋体" w:hAnsi="宋体" w:eastAsia="宋体" w:cs="宋体"/>
          <w:szCs w:val="21"/>
        </w:rPr>
      </w:pPr>
      <w:r>
        <w:rPr>
          <w:rFonts w:hint="eastAsia" w:ascii="宋体" w:hAnsi="宋体" w:eastAsia="宋体" w:cs="宋体"/>
          <w:szCs w:val="21"/>
        </w:rPr>
        <w:t>螺纹接口应当按照GB“非密封螺纹管螺纹”的规定及等同的标准进行制作，要与设备有良好的配合。</w:t>
      </w:r>
      <w:bookmarkEnd w:id="7"/>
    </w:p>
    <w:p>
      <w:pPr>
        <w:pStyle w:val="38"/>
        <w:pageBreakBefore w:val="0"/>
        <w:numPr>
          <w:ilvl w:val="0"/>
          <w:numId w:val="37"/>
        </w:numPr>
        <w:kinsoku/>
        <w:wordWrap/>
        <w:overflowPunct/>
        <w:topLinePunct w:val="0"/>
        <w:bidi w:val="0"/>
        <w:spacing w:line="360" w:lineRule="auto"/>
        <w:jc w:val="left"/>
        <w:outlineLvl w:val="0"/>
        <w:rPr>
          <w:rFonts w:hint="eastAsia" w:ascii="宋体" w:hAnsi="宋体" w:eastAsia="宋体" w:cs="宋体"/>
          <w:b/>
          <w:bCs/>
          <w:szCs w:val="21"/>
        </w:rPr>
      </w:pPr>
      <w:r>
        <w:rPr>
          <w:rFonts w:hint="eastAsia" w:ascii="宋体" w:hAnsi="宋体" w:eastAsia="宋体" w:cs="宋体"/>
          <w:b/>
          <w:bCs/>
          <w:szCs w:val="21"/>
        </w:rPr>
        <w:t>投标要求</w:t>
      </w:r>
    </w:p>
    <w:p>
      <w:pPr>
        <w:pStyle w:val="38"/>
        <w:pageBreakBefore w:val="0"/>
        <w:numPr>
          <w:ilvl w:val="0"/>
          <w:numId w:val="38"/>
        </w:numPr>
        <w:kinsoku/>
        <w:wordWrap/>
        <w:overflowPunct/>
        <w:topLinePunct w:val="0"/>
        <w:bidi w:val="0"/>
        <w:spacing w:line="360" w:lineRule="auto"/>
        <w:ind w:firstLine="422" w:firstLineChars="200"/>
        <w:jc w:val="left"/>
        <w:outlineLvl w:val="1"/>
        <w:rPr>
          <w:rFonts w:hint="eastAsia" w:ascii="宋体" w:hAnsi="宋体" w:eastAsia="宋体" w:cs="宋体"/>
          <w:b/>
          <w:bCs/>
          <w:szCs w:val="21"/>
        </w:rPr>
      </w:pPr>
      <w:bookmarkStart w:id="8" w:name="_Toc12371"/>
      <w:r>
        <w:rPr>
          <w:rFonts w:hint="eastAsia" w:ascii="宋体" w:hAnsi="宋体" w:eastAsia="宋体" w:cs="宋体"/>
          <w:b/>
          <w:bCs/>
          <w:szCs w:val="21"/>
        </w:rPr>
        <w:t>资格要求</w:t>
      </w:r>
      <w:bookmarkEnd w:id="8"/>
    </w:p>
    <w:p>
      <w:pPr>
        <w:pageBreakBefore w:val="0"/>
        <w:kinsoku/>
        <w:wordWrap/>
        <w:overflowPunct/>
        <w:topLinePunct w:val="0"/>
        <w:bidi w:val="0"/>
        <w:spacing w:line="360" w:lineRule="auto"/>
        <w:ind w:firstLine="420" w:firstLineChars="200"/>
        <w:rPr>
          <w:rFonts w:hint="eastAsia" w:ascii="宋体" w:hAnsi="宋体" w:eastAsia="宋体" w:cs="宋体"/>
          <w:szCs w:val="21"/>
        </w:rPr>
      </w:pPr>
      <w:r>
        <w:rPr>
          <w:rFonts w:hint="eastAsia" w:ascii="宋体" w:hAnsi="宋体" w:eastAsia="宋体" w:cs="宋体"/>
          <w:szCs w:val="21"/>
          <w:lang w:val="en-US" w:eastAsia="zh-CN"/>
        </w:rPr>
        <w:t>1.</w:t>
      </w:r>
      <w:r>
        <w:rPr>
          <w:rFonts w:hint="eastAsia" w:ascii="宋体" w:hAnsi="宋体" w:eastAsia="宋体" w:cs="宋体"/>
          <w:szCs w:val="21"/>
        </w:rPr>
        <w:t>投标人应是在中国境内（不包括香港、澳门、台湾地区）合法注册并具有独立法人资格的企业（提供营业执照复印件并加盖公章）。</w:t>
      </w:r>
    </w:p>
    <w:p>
      <w:pPr>
        <w:pageBreakBefore w:val="0"/>
        <w:kinsoku/>
        <w:wordWrap/>
        <w:overflowPunct/>
        <w:topLinePunct w:val="0"/>
        <w:bidi w:val="0"/>
        <w:spacing w:line="360" w:lineRule="auto"/>
        <w:ind w:firstLine="420" w:firstLineChars="200"/>
        <w:rPr>
          <w:rFonts w:hint="eastAsia" w:ascii="宋体" w:hAnsi="宋体" w:eastAsia="宋体" w:cs="宋体"/>
          <w:szCs w:val="21"/>
        </w:rPr>
      </w:pPr>
      <w:r>
        <w:rPr>
          <w:rFonts w:hint="eastAsia" w:ascii="宋体" w:hAnsi="宋体" w:eastAsia="宋体" w:cs="宋体"/>
          <w:szCs w:val="21"/>
          <w:highlight w:val="none"/>
          <w:lang w:val="en-US" w:eastAsia="zh-CN"/>
        </w:rPr>
        <w:t>2.</w:t>
      </w:r>
      <w:r>
        <w:rPr>
          <w:rFonts w:hint="eastAsia" w:ascii="宋体" w:hAnsi="宋体" w:eastAsia="宋体" w:cs="宋体"/>
          <w:szCs w:val="21"/>
          <w:highlight w:val="none"/>
        </w:rPr>
        <w:t>投标人须为</w:t>
      </w:r>
      <w:r>
        <w:rPr>
          <w:rFonts w:hint="eastAsia" w:cs="宋体"/>
          <w:szCs w:val="21"/>
          <w:highlight w:val="yellow"/>
          <w:lang w:val="en-US" w:eastAsia="zh-CN"/>
        </w:rPr>
        <w:t>离心泵</w:t>
      </w:r>
      <w:r>
        <w:rPr>
          <w:rFonts w:hint="eastAsia" w:ascii="宋体" w:hAnsi="宋体" w:eastAsia="宋体" w:cs="宋体"/>
          <w:szCs w:val="21"/>
          <w:highlight w:val="yellow"/>
        </w:rPr>
        <w:t>设备制造商或合法代理商</w:t>
      </w:r>
      <w:r>
        <w:rPr>
          <w:rFonts w:hint="eastAsia" w:ascii="宋体" w:hAnsi="宋体" w:eastAsia="宋体" w:cs="宋体"/>
          <w:szCs w:val="21"/>
          <w:highlight w:val="none"/>
        </w:rPr>
        <w:t>，投标人为代理商的，必须提供合法有效的代理证书或制造商（分公司、办事处授权无效）对本次投标项目出具的合法有效的授权书（提供制造商声明或授权书，加盖公章）。</w:t>
      </w:r>
    </w:p>
    <w:p>
      <w:pPr>
        <w:pageBreakBefore w:val="0"/>
        <w:kinsoku/>
        <w:wordWrap/>
        <w:overflowPunct/>
        <w:topLinePunct w:val="0"/>
        <w:bidi w:val="0"/>
        <w:spacing w:line="360" w:lineRule="auto"/>
        <w:ind w:firstLine="420" w:firstLineChars="200"/>
        <w:rPr>
          <w:rFonts w:hint="eastAsia" w:ascii="宋体" w:hAnsi="宋体" w:eastAsia="宋体" w:cs="宋体"/>
          <w:szCs w:val="21"/>
        </w:rPr>
      </w:pPr>
      <w:r>
        <w:rPr>
          <w:rFonts w:hint="eastAsia" w:ascii="宋体" w:hAnsi="宋体" w:eastAsia="宋体" w:cs="宋体"/>
          <w:szCs w:val="21"/>
          <w:lang w:val="en-US" w:eastAsia="zh-CN"/>
        </w:rPr>
        <w:t>3.</w:t>
      </w:r>
      <w:r>
        <w:rPr>
          <w:rFonts w:hint="eastAsia" w:ascii="宋体" w:hAnsi="宋体" w:eastAsia="宋体" w:cs="宋体"/>
          <w:szCs w:val="21"/>
        </w:rPr>
        <w:t>本项目不允许联合体投标，不允许转包、分包。</w:t>
      </w:r>
    </w:p>
    <w:p>
      <w:pPr>
        <w:pStyle w:val="38"/>
        <w:pageBreakBefore w:val="0"/>
        <w:numPr>
          <w:ilvl w:val="0"/>
          <w:numId w:val="39"/>
        </w:numPr>
        <w:kinsoku/>
        <w:wordWrap/>
        <w:overflowPunct/>
        <w:topLinePunct w:val="0"/>
        <w:bidi w:val="0"/>
        <w:spacing w:line="360" w:lineRule="auto"/>
        <w:ind w:left="422"/>
        <w:jc w:val="left"/>
        <w:outlineLvl w:val="1"/>
        <w:rPr>
          <w:rFonts w:hint="eastAsia" w:ascii="宋体" w:hAnsi="宋体" w:eastAsia="宋体" w:cs="宋体"/>
          <w:b/>
          <w:bCs/>
          <w:szCs w:val="21"/>
        </w:rPr>
      </w:pPr>
      <w:bookmarkStart w:id="9" w:name="_Toc14364"/>
      <w:r>
        <w:rPr>
          <w:rFonts w:hint="eastAsia" w:ascii="宋体" w:hAnsi="宋体" w:eastAsia="宋体" w:cs="宋体"/>
          <w:b/>
          <w:bCs/>
          <w:szCs w:val="21"/>
        </w:rPr>
        <w:t>供货期</w:t>
      </w:r>
      <w:bookmarkEnd w:id="9"/>
    </w:p>
    <w:p>
      <w:pPr>
        <w:pageBreakBefore w:val="0"/>
        <w:kinsoku/>
        <w:wordWrap/>
        <w:overflowPunct/>
        <w:topLinePunct w:val="0"/>
        <w:bidi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w:t>
      </w:r>
      <w:r>
        <w:rPr>
          <w:rFonts w:hint="eastAsia" w:ascii="宋体" w:hAnsi="宋体" w:eastAsia="宋体" w:cs="宋体"/>
          <w:szCs w:val="21"/>
          <w:lang w:val="en-US" w:eastAsia="zh-CN"/>
        </w:rPr>
        <w:t>1.</w:t>
      </w:r>
      <w:r>
        <w:rPr>
          <w:rFonts w:hint="eastAsia" w:ascii="宋体" w:hAnsi="宋体" w:eastAsia="宋体" w:cs="宋体"/>
          <w:szCs w:val="21"/>
        </w:rPr>
        <w:t>供货期：自合同签订之日起，</w:t>
      </w:r>
      <w:r>
        <w:rPr>
          <w:rFonts w:hint="eastAsia" w:ascii="宋体" w:hAnsi="宋体" w:eastAsia="宋体" w:cs="宋体"/>
          <w:szCs w:val="21"/>
          <w:highlight w:val="yellow"/>
        </w:rPr>
        <w:t>60日历天内</w:t>
      </w:r>
      <w:r>
        <w:rPr>
          <w:rFonts w:hint="eastAsia" w:ascii="宋体" w:hAnsi="宋体" w:eastAsia="宋体" w:cs="宋体"/>
          <w:szCs w:val="21"/>
        </w:rPr>
        <w:t>完成供货。中标方应根据发包方的进度要求，并在遵守进度要求的前提下，按最有利的情况来制定其工作计划表。（以上时间均为日历天），中标方必须无条件满足在新的交货期内全部货到发包方指定地点，不得以此为由向发包方索赔任何延期供货费用）。</w:t>
      </w:r>
    </w:p>
    <w:p>
      <w:pPr>
        <w:pageBreakBefore w:val="0"/>
        <w:kinsoku/>
        <w:wordWrap/>
        <w:overflowPunct/>
        <w:topLinePunct w:val="0"/>
        <w:bidi w:val="0"/>
        <w:spacing w:line="360" w:lineRule="auto"/>
        <w:ind w:firstLine="420" w:firstLineChars="200"/>
        <w:rPr>
          <w:rFonts w:hint="eastAsia" w:ascii="宋体" w:hAnsi="宋体" w:eastAsia="宋体" w:cs="宋体"/>
          <w:szCs w:val="21"/>
        </w:rPr>
      </w:pPr>
      <w:r>
        <w:rPr>
          <w:rFonts w:hint="eastAsia" w:ascii="宋体" w:hAnsi="宋体" w:eastAsia="宋体" w:cs="宋体"/>
          <w:szCs w:val="21"/>
          <w:lang w:val="en-US" w:eastAsia="zh-CN"/>
        </w:rPr>
        <w:t>2.</w:t>
      </w:r>
      <w:r>
        <w:rPr>
          <w:rFonts w:hint="eastAsia" w:ascii="宋体" w:hAnsi="宋体" w:eastAsia="宋体" w:cs="宋体"/>
          <w:szCs w:val="21"/>
        </w:rPr>
        <w:t>地点：投标人应将所有合同设备全部运抵至甲方指定地点。</w:t>
      </w:r>
    </w:p>
    <w:p>
      <w:pPr>
        <w:pageBreakBefore w:val="0"/>
        <w:kinsoku/>
        <w:wordWrap/>
        <w:overflowPunct/>
        <w:topLinePunct w:val="0"/>
        <w:bidi w:val="0"/>
        <w:spacing w:line="360" w:lineRule="auto"/>
        <w:ind w:firstLine="420" w:firstLineChars="200"/>
        <w:rPr>
          <w:rFonts w:hint="eastAsia" w:ascii="宋体" w:hAnsi="宋体" w:eastAsia="宋体" w:cs="宋体"/>
          <w:szCs w:val="21"/>
        </w:rPr>
      </w:pPr>
      <w:r>
        <w:rPr>
          <w:rFonts w:hint="eastAsia" w:ascii="宋体" w:hAnsi="宋体" w:eastAsia="宋体" w:cs="宋体"/>
          <w:szCs w:val="21"/>
          <w:lang w:val="en-US" w:eastAsia="zh-CN"/>
        </w:rPr>
        <w:t>3.</w:t>
      </w:r>
      <w:r>
        <w:rPr>
          <w:rFonts w:hint="eastAsia" w:ascii="宋体" w:hAnsi="宋体" w:eastAsia="宋体" w:cs="宋体"/>
          <w:szCs w:val="21"/>
        </w:rPr>
        <w:t>招标人提前7天通知投标方送货时间，投标方在通知的时间内将合同设备送达现场并由投标方负责指导吊装、现场指导设备组装及安装。</w:t>
      </w:r>
    </w:p>
    <w:p>
      <w:pPr>
        <w:pageBreakBefore w:val="0"/>
        <w:kinsoku/>
        <w:wordWrap/>
        <w:overflowPunct/>
        <w:topLinePunct w:val="0"/>
        <w:bidi w:val="0"/>
        <w:spacing w:line="360" w:lineRule="auto"/>
        <w:ind w:firstLine="420" w:firstLineChars="200"/>
        <w:rPr>
          <w:rFonts w:hint="eastAsia" w:ascii="宋体" w:hAnsi="宋体" w:eastAsia="宋体" w:cs="宋体"/>
          <w:szCs w:val="21"/>
        </w:rPr>
      </w:pPr>
      <w:r>
        <w:rPr>
          <w:rFonts w:hint="eastAsia" w:ascii="宋体" w:hAnsi="宋体" w:eastAsia="宋体" w:cs="宋体"/>
          <w:szCs w:val="21"/>
          <w:lang w:val="en-US" w:eastAsia="zh-CN"/>
        </w:rPr>
        <w:t>4.</w:t>
      </w:r>
      <w:r>
        <w:rPr>
          <w:rFonts w:hint="eastAsia" w:ascii="宋体" w:hAnsi="宋体" w:eastAsia="宋体" w:cs="宋体"/>
          <w:szCs w:val="21"/>
        </w:rPr>
        <w:t>涉及有土建预留、预埋要求的设备，投标人应在合同签订后1周内提供经投标人技术人员签字盖章确认的基础图、预留孔洞图和安装图，同时投标人有义务派遣技术人员对总包单位、土建单位、安装单位进行技术交底。投标人所供设备自带的预埋件必须在结构施工中埋入的，应列出清单并在合同签订后1周内发给招标人，并负责现场配合招标人指导土建单位、安装单位施工。预埋件发货时间以招标人要求为准。</w:t>
      </w:r>
    </w:p>
    <w:p>
      <w:pPr>
        <w:pageBreakBefore w:val="0"/>
        <w:kinsoku/>
        <w:wordWrap/>
        <w:overflowPunct/>
        <w:topLinePunct w:val="0"/>
        <w:bidi w:val="0"/>
        <w:spacing w:line="360" w:lineRule="auto"/>
        <w:ind w:firstLine="420" w:firstLineChars="200"/>
        <w:rPr>
          <w:rFonts w:hint="eastAsia" w:ascii="宋体" w:hAnsi="宋体" w:eastAsia="宋体" w:cs="宋体"/>
          <w:szCs w:val="21"/>
        </w:rPr>
      </w:pPr>
      <w:r>
        <w:rPr>
          <w:rFonts w:hint="eastAsia" w:ascii="宋体" w:hAnsi="宋体" w:eastAsia="宋体" w:cs="宋体"/>
          <w:szCs w:val="21"/>
          <w:lang w:val="en-US" w:eastAsia="zh-CN"/>
        </w:rPr>
        <w:t>5.</w:t>
      </w:r>
      <w:r>
        <w:rPr>
          <w:rFonts w:hint="eastAsia" w:ascii="宋体" w:hAnsi="宋体" w:eastAsia="宋体" w:cs="宋体"/>
          <w:szCs w:val="21"/>
        </w:rPr>
        <w:t>投标人负责运输和保险，将货物运抵交货地点。有关运输、保险和装车等一切的费用由投标人承担。货物运抵项目现场移交后的保险责任由招标人负责。如投标人负责安装的，则货物运抵现场移交后的保险责任仍由投标人负责。</w:t>
      </w:r>
    </w:p>
    <w:p>
      <w:pPr>
        <w:pageBreakBefore w:val="0"/>
        <w:kinsoku/>
        <w:wordWrap/>
        <w:overflowPunct/>
        <w:topLinePunct w:val="0"/>
        <w:bidi w:val="0"/>
        <w:spacing w:line="360" w:lineRule="auto"/>
        <w:ind w:firstLine="420" w:firstLineChars="200"/>
        <w:rPr>
          <w:rFonts w:hint="eastAsia" w:ascii="宋体" w:hAnsi="宋体" w:eastAsia="宋体" w:cs="宋体"/>
          <w:szCs w:val="21"/>
        </w:rPr>
      </w:pPr>
      <w:r>
        <w:rPr>
          <w:rFonts w:hint="eastAsia" w:ascii="宋体" w:hAnsi="宋体" w:eastAsia="宋体" w:cs="宋体"/>
          <w:szCs w:val="21"/>
          <w:lang w:val="en-US" w:eastAsia="zh-CN"/>
        </w:rPr>
        <w:t>6.</w:t>
      </w:r>
      <w:r>
        <w:rPr>
          <w:rFonts w:hint="eastAsia" w:ascii="宋体" w:hAnsi="宋体" w:eastAsia="宋体" w:cs="宋体"/>
          <w:szCs w:val="21"/>
        </w:rPr>
        <w:t>合同设备交货时，投标人应提供设备的全套资料（每套设备一份），包括但不限于下述文件：装箱单（包含交货设备清单、数量、品牌、规格型号、尺寸、重量等）、系统内的阀门仪表清单、电缆清单、产品合格证、出厂检测报告、拼装图纸、说明书、设备操作保养和维护手册等招标文件、项目需求中要求提交的资料。进口设备还须提交报关单、商检证明、原产地证明以及图文资料的中文译本。</w:t>
      </w:r>
    </w:p>
    <w:p>
      <w:pPr>
        <w:pageBreakBefore w:val="0"/>
        <w:kinsoku/>
        <w:wordWrap/>
        <w:overflowPunct/>
        <w:topLinePunct w:val="0"/>
        <w:bidi w:val="0"/>
        <w:spacing w:line="360" w:lineRule="auto"/>
        <w:ind w:firstLine="420" w:firstLineChars="200"/>
        <w:rPr>
          <w:rFonts w:hint="eastAsia" w:ascii="宋体" w:hAnsi="宋体" w:eastAsia="宋体" w:cs="宋体"/>
          <w:szCs w:val="21"/>
        </w:rPr>
      </w:pPr>
      <w:r>
        <w:rPr>
          <w:rFonts w:hint="eastAsia" w:ascii="宋体" w:hAnsi="宋体" w:eastAsia="宋体" w:cs="宋体"/>
          <w:szCs w:val="21"/>
          <w:lang w:val="en-US" w:eastAsia="zh-CN"/>
        </w:rPr>
        <w:t>7.</w:t>
      </w:r>
      <w:r>
        <w:rPr>
          <w:rFonts w:hint="eastAsia" w:ascii="宋体" w:hAnsi="宋体" w:eastAsia="宋体" w:cs="宋体"/>
          <w:szCs w:val="21"/>
        </w:rPr>
        <w:t>投标人人员应经过必要的安全教育和安全交底，合同有效期内进入招标人现场时应遵守国家、深圳市及招标人有关安全及文明施工的规定，投标人必须为其工作人员配备相关安全防护用品，如非因招标人原因，投标人人员、设备等受到损害的，其责任由投标人自行承担。</w:t>
      </w:r>
    </w:p>
    <w:p>
      <w:pPr>
        <w:pageBreakBefore w:val="0"/>
        <w:kinsoku/>
        <w:wordWrap/>
        <w:overflowPunct/>
        <w:topLinePunct w:val="0"/>
        <w:bidi w:val="0"/>
        <w:spacing w:line="360" w:lineRule="auto"/>
        <w:ind w:firstLine="420" w:firstLineChars="200"/>
        <w:rPr>
          <w:rFonts w:hint="eastAsia" w:ascii="宋体" w:hAnsi="宋体" w:eastAsia="宋体" w:cs="宋体"/>
          <w:szCs w:val="21"/>
        </w:rPr>
      </w:pPr>
      <w:r>
        <w:rPr>
          <w:rFonts w:hint="eastAsia" w:ascii="宋体" w:hAnsi="宋体" w:eastAsia="宋体" w:cs="宋体"/>
          <w:szCs w:val="21"/>
          <w:lang w:val="en-US" w:eastAsia="zh-CN"/>
        </w:rPr>
        <w:t>8.</w:t>
      </w:r>
      <w:r>
        <w:rPr>
          <w:rFonts w:hint="eastAsia" w:ascii="宋体" w:hAnsi="宋体" w:eastAsia="宋体" w:cs="宋体"/>
          <w:szCs w:val="21"/>
        </w:rPr>
        <w:t>在货物交付招标人使用前，货物的所有风险概由投标人承担。</w:t>
      </w:r>
    </w:p>
    <w:p>
      <w:pPr>
        <w:pStyle w:val="38"/>
        <w:pageBreakBefore w:val="0"/>
        <w:numPr>
          <w:ilvl w:val="0"/>
          <w:numId w:val="40"/>
        </w:numPr>
        <w:kinsoku/>
        <w:wordWrap/>
        <w:overflowPunct/>
        <w:topLinePunct w:val="0"/>
        <w:bidi w:val="0"/>
        <w:spacing w:line="360" w:lineRule="auto"/>
        <w:ind w:left="422"/>
        <w:jc w:val="left"/>
        <w:outlineLvl w:val="1"/>
        <w:rPr>
          <w:rFonts w:hint="eastAsia" w:ascii="宋体" w:hAnsi="宋体" w:eastAsia="宋体" w:cs="宋体"/>
          <w:b/>
          <w:bCs/>
          <w:szCs w:val="21"/>
        </w:rPr>
      </w:pPr>
      <w:bookmarkStart w:id="10" w:name="_Toc16094"/>
      <w:r>
        <w:rPr>
          <w:rFonts w:hint="eastAsia" w:ascii="宋体" w:hAnsi="宋体" w:eastAsia="宋体" w:cs="宋体"/>
          <w:b/>
          <w:bCs/>
          <w:szCs w:val="21"/>
        </w:rPr>
        <w:t>付款方式</w:t>
      </w:r>
      <w:bookmarkEnd w:id="10"/>
    </w:p>
    <w:p>
      <w:pPr>
        <w:keepNext w:val="0"/>
        <w:keepLines w:val="0"/>
        <w:pageBreakBefore w:val="0"/>
        <w:widowControl w:val="0"/>
        <w:kinsoku/>
        <w:wordWrap/>
        <w:overflowPunct/>
        <w:topLinePunct w:val="0"/>
        <w:autoSpaceDE/>
        <w:autoSpaceDN/>
        <w:bidi w:val="0"/>
        <w:snapToGrid/>
        <w:spacing w:line="360" w:lineRule="auto"/>
        <w:ind w:left="0" w:leftChars="0" w:firstLine="420" w:firstLineChars="20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1.本合同</w:t>
      </w:r>
      <w:r>
        <w:rPr>
          <w:rFonts w:hint="eastAsia" w:ascii="宋体" w:hAnsi="宋体" w:eastAsia="宋体" w:cs="宋体"/>
          <w:sz w:val="21"/>
          <w:szCs w:val="21"/>
          <w:highlight w:val="none"/>
          <w:lang w:val="en-US" w:eastAsia="zh-CN"/>
        </w:rPr>
        <w:t>为固定价格，</w:t>
      </w:r>
      <w:r>
        <w:rPr>
          <w:rFonts w:hint="eastAsia" w:ascii="宋体" w:hAnsi="宋体" w:eastAsia="宋体" w:cs="宋体"/>
          <w:sz w:val="21"/>
          <w:szCs w:val="21"/>
          <w:lang w:val="en-US" w:eastAsia="zh-CN"/>
        </w:rPr>
        <w:t>如实际供货设备数量较合同清单数量有减少的，则在结算中扣除相应金额。</w:t>
      </w:r>
    </w:p>
    <w:p>
      <w:pPr>
        <w:keepNext w:val="0"/>
        <w:keepLines w:val="0"/>
        <w:pageBreakBefore w:val="0"/>
        <w:widowControl w:val="0"/>
        <w:kinsoku/>
        <w:wordWrap/>
        <w:overflowPunct/>
        <w:topLinePunct w:val="0"/>
        <w:autoSpaceDE/>
        <w:autoSpaceDN/>
        <w:bidi w:val="0"/>
        <w:snapToGrid/>
        <w:spacing w:line="360" w:lineRule="auto"/>
        <w:ind w:left="0" w:leftChars="0" w:firstLine="420" w:firstLineChars="20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2.进度款支付条款如下：</w:t>
      </w:r>
    </w:p>
    <w:p>
      <w:pPr>
        <w:keepNext w:val="0"/>
        <w:keepLines w:val="0"/>
        <w:pageBreakBefore w:val="0"/>
        <w:kinsoku/>
        <w:wordWrap/>
        <w:overflowPunct/>
        <w:topLinePunct w:val="0"/>
        <w:autoSpaceDE/>
        <w:autoSpaceDN/>
        <w:bidi w:val="0"/>
        <w:snapToGrid/>
        <w:spacing w:line="360" w:lineRule="auto"/>
        <w:ind w:firstLine="420" w:firstLineChars="200"/>
        <w:jc w:val="left"/>
        <w:rPr>
          <w:rFonts w:hint="eastAsia" w:ascii="宋体" w:hAnsi="宋体" w:eastAsia="宋体" w:cs="宋体"/>
          <w:sz w:val="21"/>
          <w:szCs w:val="21"/>
        </w:rPr>
      </w:pPr>
      <w:bookmarkStart w:id="11" w:name="_Hlk127981952"/>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1）预付款：</w:t>
      </w:r>
      <w:r>
        <w:rPr>
          <w:rFonts w:hint="eastAsia" w:ascii="宋体" w:hAnsi="宋体" w:eastAsia="宋体" w:cs="宋体"/>
          <w:sz w:val="21"/>
          <w:szCs w:val="21"/>
        </w:rPr>
        <w:t>合同签订后，</w:t>
      </w:r>
      <w:r>
        <w:rPr>
          <w:rFonts w:hint="eastAsia" w:ascii="宋体" w:hAnsi="宋体" w:eastAsia="宋体" w:cs="宋体"/>
          <w:sz w:val="21"/>
          <w:szCs w:val="21"/>
          <w:lang w:val="en-US" w:eastAsia="zh-CN"/>
        </w:rPr>
        <w:t>在收到中标人预付款发票和请款资料后，</w:t>
      </w:r>
      <w:r>
        <w:rPr>
          <w:rFonts w:hint="eastAsia" w:ascii="宋体" w:hAnsi="宋体" w:eastAsia="宋体" w:cs="宋体"/>
          <w:bCs w:val="0"/>
          <w:kern w:val="2"/>
          <w:sz w:val="21"/>
          <w:szCs w:val="21"/>
          <w:lang w:eastAsia="zh-CN"/>
        </w:rPr>
        <w:t>支付至本合同</w:t>
      </w:r>
      <w:r>
        <w:rPr>
          <w:rFonts w:hint="eastAsia" w:ascii="宋体" w:hAnsi="宋体" w:eastAsia="宋体" w:cs="宋体"/>
          <w:bCs w:val="0"/>
          <w:kern w:val="2"/>
          <w:sz w:val="21"/>
          <w:szCs w:val="21"/>
          <w:lang w:val="en-US" w:eastAsia="zh-CN"/>
        </w:rPr>
        <w:t>相应内容金额</w:t>
      </w:r>
      <w:r>
        <w:rPr>
          <w:rFonts w:hint="eastAsia" w:ascii="宋体" w:hAnsi="宋体" w:eastAsia="宋体" w:cs="宋体"/>
          <w:bCs w:val="0"/>
          <w:kern w:val="2"/>
          <w:sz w:val="21"/>
          <w:szCs w:val="21"/>
          <w:lang w:eastAsia="zh-CN"/>
        </w:rPr>
        <w:t>的30%</w:t>
      </w:r>
      <w:r>
        <w:rPr>
          <w:rFonts w:hint="eastAsia" w:ascii="宋体" w:hAnsi="宋体" w:eastAsia="宋体" w:cs="宋体"/>
          <w:sz w:val="21"/>
          <w:szCs w:val="21"/>
        </w:rPr>
        <w:t>；</w:t>
      </w:r>
      <w:bookmarkEnd w:id="11"/>
    </w:p>
    <w:p>
      <w:pPr>
        <w:keepNext w:val="0"/>
        <w:keepLines w:val="0"/>
        <w:pageBreakBefore w:val="0"/>
        <w:kinsoku/>
        <w:wordWrap/>
        <w:overflowPunct/>
        <w:topLinePunct w:val="0"/>
        <w:autoSpaceDE/>
        <w:autoSpaceDN/>
        <w:bidi w:val="0"/>
        <w:snapToGrid/>
        <w:spacing w:line="360" w:lineRule="auto"/>
        <w:ind w:firstLine="420" w:firstLineChars="200"/>
        <w:jc w:val="left"/>
        <w:rPr>
          <w:rFonts w:hint="eastAsia" w:ascii="宋体" w:hAnsi="宋体" w:eastAsia="宋体" w:cs="宋体"/>
          <w:sz w:val="21"/>
          <w:szCs w:val="21"/>
        </w:rPr>
      </w:pP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2）到货款：</w:t>
      </w:r>
      <w:r>
        <w:rPr>
          <w:rFonts w:hint="eastAsia" w:ascii="宋体" w:hAnsi="宋体" w:eastAsia="宋体" w:cs="宋体"/>
          <w:bCs w:val="0"/>
          <w:kern w:val="2"/>
          <w:sz w:val="21"/>
          <w:szCs w:val="21"/>
          <w:lang w:eastAsia="zh-CN"/>
        </w:rPr>
        <w:t>货到现场，设备及备件数量核对无误</w:t>
      </w:r>
      <w:r>
        <w:rPr>
          <w:rFonts w:hint="eastAsia" w:ascii="宋体" w:hAnsi="宋体" w:eastAsia="宋体" w:cs="宋体"/>
          <w:bCs w:val="0"/>
          <w:kern w:val="2"/>
          <w:sz w:val="21"/>
          <w:szCs w:val="21"/>
          <w:lang w:val="en-US" w:eastAsia="zh-CN"/>
        </w:rPr>
        <w:t>且到货验收合格后</w:t>
      </w:r>
      <w:r>
        <w:rPr>
          <w:rFonts w:hint="eastAsia" w:ascii="宋体" w:hAnsi="宋体" w:eastAsia="宋体" w:cs="宋体"/>
          <w:bCs w:val="0"/>
          <w:kern w:val="2"/>
          <w:sz w:val="21"/>
          <w:szCs w:val="21"/>
          <w:lang w:eastAsia="zh-CN"/>
        </w:rPr>
        <w:t>，支付至本合同</w:t>
      </w:r>
      <w:r>
        <w:rPr>
          <w:rFonts w:hint="eastAsia" w:ascii="宋体" w:hAnsi="宋体" w:eastAsia="宋体" w:cs="宋体"/>
          <w:bCs w:val="0"/>
          <w:kern w:val="2"/>
          <w:sz w:val="21"/>
          <w:szCs w:val="21"/>
          <w:lang w:val="en-US" w:eastAsia="zh-CN"/>
        </w:rPr>
        <w:t>相应内容金额</w:t>
      </w:r>
      <w:r>
        <w:rPr>
          <w:rFonts w:hint="eastAsia" w:ascii="宋体" w:hAnsi="宋体" w:eastAsia="宋体" w:cs="宋体"/>
          <w:bCs w:val="0"/>
          <w:kern w:val="2"/>
          <w:sz w:val="21"/>
          <w:szCs w:val="21"/>
          <w:lang w:eastAsia="zh-CN"/>
        </w:rPr>
        <w:t>的60%</w:t>
      </w:r>
      <w:r>
        <w:rPr>
          <w:rFonts w:hint="eastAsia" w:ascii="宋体" w:hAnsi="宋体" w:eastAsia="宋体" w:cs="宋体"/>
          <w:sz w:val="21"/>
          <w:szCs w:val="21"/>
        </w:rPr>
        <w:t>；</w:t>
      </w:r>
    </w:p>
    <w:p>
      <w:pPr>
        <w:keepNext w:val="0"/>
        <w:keepLines w:val="0"/>
        <w:pageBreakBefore w:val="0"/>
        <w:kinsoku/>
        <w:wordWrap/>
        <w:overflowPunct/>
        <w:topLinePunct w:val="0"/>
        <w:autoSpaceDE/>
        <w:autoSpaceDN/>
        <w:bidi w:val="0"/>
        <w:snapToGrid/>
        <w:spacing w:line="360" w:lineRule="auto"/>
        <w:ind w:firstLine="420" w:firstLineChars="200"/>
        <w:jc w:val="left"/>
        <w:rPr>
          <w:rFonts w:hint="eastAsia" w:ascii="宋体" w:hAnsi="宋体" w:eastAsia="宋体" w:cs="宋体"/>
          <w:sz w:val="21"/>
          <w:szCs w:val="21"/>
        </w:rPr>
      </w:pP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3）安装调试款：</w:t>
      </w:r>
      <w:r>
        <w:rPr>
          <w:rFonts w:hint="eastAsia" w:ascii="宋体" w:hAnsi="宋体" w:eastAsia="宋体" w:cs="宋体"/>
          <w:bCs w:val="0"/>
          <w:kern w:val="2"/>
          <w:sz w:val="21"/>
          <w:szCs w:val="21"/>
          <w:lang w:eastAsia="zh-CN"/>
        </w:rPr>
        <w:t>设备安装调试验收合格后，支付至本合同</w:t>
      </w:r>
      <w:r>
        <w:rPr>
          <w:rFonts w:hint="eastAsia" w:ascii="宋体" w:hAnsi="宋体" w:eastAsia="宋体" w:cs="宋体"/>
          <w:bCs w:val="0"/>
          <w:kern w:val="2"/>
          <w:sz w:val="21"/>
          <w:szCs w:val="21"/>
          <w:lang w:val="en-US" w:eastAsia="zh-CN"/>
        </w:rPr>
        <w:t>相应内容金额的</w:t>
      </w:r>
      <w:r>
        <w:rPr>
          <w:rFonts w:hint="eastAsia" w:ascii="宋体" w:hAnsi="宋体" w:eastAsia="宋体" w:cs="宋体"/>
          <w:bCs w:val="0"/>
          <w:kern w:val="2"/>
          <w:sz w:val="21"/>
          <w:szCs w:val="21"/>
          <w:lang w:eastAsia="zh-CN"/>
        </w:rPr>
        <w:t>80%</w:t>
      </w:r>
      <w:r>
        <w:rPr>
          <w:rFonts w:hint="eastAsia" w:ascii="宋体" w:hAnsi="宋体" w:eastAsia="宋体" w:cs="宋体"/>
          <w:sz w:val="21"/>
          <w:szCs w:val="21"/>
        </w:rPr>
        <w:t>；</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4）通水达标：</w:t>
      </w:r>
      <w:r>
        <w:rPr>
          <w:rFonts w:hint="eastAsia" w:ascii="宋体" w:hAnsi="宋体" w:eastAsia="宋体" w:cs="宋体"/>
          <w:bCs w:val="0"/>
          <w:kern w:val="2"/>
          <w:sz w:val="21"/>
          <w:szCs w:val="21"/>
          <w:lang w:eastAsia="zh-CN"/>
        </w:rPr>
        <w:t>通水达标后，设备正常运行并通过性能考核验收，支付至本合同相应内容金额</w:t>
      </w:r>
      <w:r>
        <w:rPr>
          <w:rFonts w:hint="eastAsia" w:ascii="宋体" w:hAnsi="宋体" w:eastAsia="宋体" w:cs="宋体"/>
          <w:bCs w:val="0"/>
          <w:kern w:val="2"/>
          <w:sz w:val="21"/>
          <w:szCs w:val="21"/>
          <w:lang w:val="en-US" w:eastAsia="zh-CN"/>
        </w:rPr>
        <w:t>的</w:t>
      </w:r>
      <w:r>
        <w:rPr>
          <w:rFonts w:hint="eastAsia" w:ascii="宋体" w:hAnsi="宋体" w:eastAsia="宋体" w:cs="宋体"/>
          <w:bCs w:val="0"/>
          <w:kern w:val="2"/>
          <w:sz w:val="21"/>
          <w:szCs w:val="21"/>
          <w:lang w:eastAsia="zh-CN"/>
        </w:rPr>
        <w:t>97%（</w:t>
      </w:r>
      <w:r>
        <w:rPr>
          <w:rFonts w:hint="eastAsia" w:ascii="宋体" w:hAnsi="宋体" w:eastAsia="宋体" w:cs="宋体"/>
          <w:bCs w:val="0"/>
          <w:kern w:val="2"/>
          <w:sz w:val="21"/>
          <w:szCs w:val="21"/>
          <w:lang w:val="en-US" w:eastAsia="zh-CN"/>
        </w:rPr>
        <w:t>开具合同总价的20%增值税专用发票（包含质保金））</w:t>
      </w:r>
      <w:r>
        <w:rPr>
          <w:rFonts w:hint="eastAsia" w:ascii="宋体" w:hAnsi="宋体" w:eastAsia="宋体" w:cs="宋体"/>
          <w:sz w:val="21"/>
          <w:szCs w:val="21"/>
        </w:rPr>
        <w:t>。</w:t>
      </w:r>
    </w:p>
    <w:p>
      <w:pPr>
        <w:keepNext w:val="0"/>
        <w:keepLines w:val="0"/>
        <w:pageBreakBefore w:val="0"/>
        <w:widowControl w:val="0"/>
        <w:kinsoku/>
        <w:wordWrap/>
        <w:overflowPunct/>
        <w:topLinePunct w:val="0"/>
        <w:autoSpaceDE/>
        <w:autoSpaceDN/>
        <w:bidi w:val="0"/>
        <w:snapToGrid/>
        <w:spacing w:line="360" w:lineRule="auto"/>
        <w:ind w:left="0" w:leftChars="0" w:firstLine="420" w:firstLineChars="20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5）质保金：</w:t>
      </w:r>
      <w:r>
        <w:rPr>
          <w:rFonts w:hint="eastAsia" w:ascii="宋体" w:hAnsi="宋体" w:eastAsia="宋体" w:cs="宋体"/>
          <w:bCs w:val="0"/>
          <w:kern w:val="2"/>
          <w:sz w:val="21"/>
          <w:szCs w:val="21"/>
          <w:lang w:eastAsia="zh-CN"/>
        </w:rPr>
        <w:t>本合同结算价的3%作为质保金，待</w:t>
      </w:r>
      <w:r>
        <w:rPr>
          <w:rFonts w:hint="eastAsia" w:ascii="宋体" w:hAnsi="宋体" w:eastAsia="宋体" w:cs="宋体"/>
          <w:bCs w:val="0"/>
          <w:kern w:val="2"/>
          <w:sz w:val="21"/>
          <w:szCs w:val="21"/>
          <w:lang w:val="en-US" w:eastAsia="zh-CN"/>
        </w:rPr>
        <w:t>质保</w:t>
      </w:r>
      <w:r>
        <w:rPr>
          <w:rFonts w:hint="eastAsia" w:ascii="宋体" w:hAnsi="宋体" w:eastAsia="宋体" w:cs="宋体"/>
          <w:bCs w:val="0"/>
          <w:kern w:val="2"/>
          <w:sz w:val="21"/>
          <w:szCs w:val="21"/>
          <w:lang w:eastAsia="zh-CN"/>
        </w:rPr>
        <w:t>期</w:t>
      </w:r>
      <w:r>
        <w:rPr>
          <w:rFonts w:hint="eastAsia" w:ascii="宋体" w:hAnsi="宋体" w:eastAsia="宋体" w:cs="宋体"/>
          <w:bCs w:val="0"/>
          <w:kern w:val="2"/>
          <w:sz w:val="21"/>
          <w:szCs w:val="21"/>
          <w:lang w:val="en-US" w:eastAsia="zh-CN"/>
        </w:rPr>
        <w:t>满</w:t>
      </w:r>
      <w:r>
        <w:rPr>
          <w:rFonts w:hint="eastAsia" w:ascii="宋体" w:hAnsi="宋体" w:eastAsia="宋体" w:cs="宋体"/>
          <w:bCs w:val="0"/>
          <w:kern w:val="2"/>
          <w:sz w:val="21"/>
          <w:szCs w:val="21"/>
          <w:lang w:eastAsia="zh-CN"/>
        </w:rPr>
        <w:t>且无任何质量争议后无息退</w:t>
      </w:r>
      <w:r>
        <w:rPr>
          <w:rFonts w:hint="eastAsia" w:ascii="宋体" w:hAnsi="宋体" w:eastAsia="宋体" w:cs="宋体"/>
          <w:bCs w:val="0"/>
          <w:kern w:val="2"/>
          <w:sz w:val="21"/>
          <w:szCs w:val="21"/>
          <w:lang w:val="en-US" w:eastAsia="zh-CN"/>
        </w:rPr>
        <w:t>还</w:t>
      </w:r>
      <w:r>
        <w:rPr>
          <w:rFonts w:hint="eastAsia" w:ascii="宋体" w:hAnsi="宋体" w:eastAsia="宋体" w:cs="宋体"/>
          <w:sz w:val="21"/>
          <w:szCs w:val="21"/>
          <w:lang w:val="en-US" w:eastAsia="zh-CN"/>
        </w:rPr>
        <w:t>。</w:t>
      </w:r>
    </w:p>
    <w:p>
      <w:pPr>
        <w:pageBreakBefore w:val="0"/>
        <w:kinsoku/>
        <w:wordWrap/>
        <w:overflowPunct/>
        <w:topLinePunct w:val="0"/>
        <w:bidi w:val="0"/>
        <w:spacing w:line="360" w:lineRule="auto"/>
        <w:ind w:firstLine="420" w:firstLineChars="200"/>
        <w:rPr>
          <w:rFonts w:hint="eastAsia" w:ascii="宋体" w:hAnsi="宋体" w:eastAsia="宋体" w:cs="宋体"/>
          <w:szCs w:val="21"/>
        </w:rPr>
      </w:pPr>
      <w:r>
        <w:rPr>
          <w:rFonts w:hint="eastAsia" w:ascii="宋体" w:hAnsi="宋体" w:eastAsia="宋体" w:cs="宋体"/>
          <w:sz w:val="21"/>
          <w:szCs w:val="21"/>
          <w:lang w:val="en-US" w:eastAsia="zh-CN"/>
        </w:rPr>
        <w:t>3.</w:t>
      </w:r>
      <w:r>
        <w:rPr>
          <w:rFonts w:hint="eastAsia" w:ascii="宋体" w:hAnsi="宋体" w:eastAsia="宋体" w:cs="宋体"/>
          <w:bCs/>
          <w:sz w:val="21"/>
          <w:szCs w:val="21"/>
          <w:lang w:val="zh-CN"/>
        </w:rPr>
        <w:t>上述</w:t>
      </w:r>
      <w:r>
        <w:rPr>
          <w:rFonts w:hint="eastAsia" w:ascii="宋体" w:hAnsi="宋体" w:eastAsia="宋体" w:cs="宋体"/>
          <w:bCs/>
          <w:sz w:val="21"/>
          <w:szCs w:val="21"/>
          <w:lang w:val="en-US" w:eastAsia="zh-CN"/>
        </w:rPr>
        <w:t>每笔</w:t>
      </w:r>
      <w:r>
        <w:rPr>
          <w:rFonts w:hint="eastAsia" w:ascii="宋体" w:hAnsi="宋体" w:eastAsia="宋体" w:cs="宋体"/>
          <w:bCs/>
          <w:sz w:val="21"/>
          <w:szCs w:val="21"/>
          <w:lang w:val="zh-CN"/>
        </w:rPr>
        <w:t>款项支付前，</w:t>
      </w:r>
      <w:r>
        <w:rPr>
          <w:rFonts w:hint="eastAsia" w:ascii="宋体" w:hAnsi="宋体" w:eastAsia="宋体" w:cs="宋体"/>
          <w:sz w:val="21"/>
          <w:szCs w:val="21"/>
          <w:lang w:val="en-US" w:eastAsia="zh-CN"/>
        </w:rPr>
        <w:t>中标人应向采购人提供符合采购人财务制度的正式合法、等额增值税专用发票及请款资料</w:t>
      </w:r>
      <w:r>
        <w:rPr>
          <w:rFonts w:hint="eastAsia" w:ascii="宋体" w:hAnsi="宋体" w:eastAsia="宋体" w:cs="宋体"/>
          <w:bCs w:val="0"/>
          <w:kern w:val="2"/>
          <w:sz w:val="21"/>
          <w:szCs w:val="21"/>
          <w:highlight w:val="none"/>
          <w:lang w:val="en-US" w:eastAsia="zh-CN"/>
        </w:rPr>
        <w:t>（</w:t>
      </w:r>
      <w:r>
        <w:rPr>
          <w:rFonts w:hint="eastAsia" w:ascii="宋体" w:hAnsi="宋体" w:eastAsia="宋体" w:cs="宋体"/>
          <w:b w:val="0"/>
          <w:bCs w:val="0"/>
          <w:color w:val="auto"/>
          <w:sz w:val="21"/>
          <w:szCs w:val="21"/>
          <w:highlight w:val="none"/>
          <w:lang w:val="en-US" w:eastAsia="zh-CN"/>
        </w:rPr>
        <w:t>中标人的支付申请、货物出厂检验通过证明、开箱验货合格报告、进口部件的原产地证书和进口证明、各付款节点对应的相关方签字确认的验收等资料及其他采购人要求的请款资料）</w:t>
      </w:r>
      <w:r>
        <w:rPr>
          <w:rFonts w:hint="eastAsia" w:ascii="宋体" w:hAnsi="宋体" w:eastAsia="宋体" w:cs="宋体"/>
          <w:sz w:val="21"/>
          <w:szCs w:val="21"/>
          <w:lang w:val="en-US" w:eastAsia="zh-CN"/>
        </w:rPr>
        <w:t>，否则采购人有权拒绝支付合同全部款项，且不承担任何违约责任。</w:t>
      </w:r>
    </w:p>
    <w:p>
      <w:pPr>
        <w:pStyle w:val="38"/>
        <w:pageBreakBefore w:val="0"/>
        <w:numPr>
          <w:ilvl w:val="0"/>
          <w:numId w:val="41"/>
        </w:numPr>
        <w:kinsoku/>
        <w:wordWrap/>
        <w:overflowPunct/>
        <w:topLinePunct w:val="0"/>
        <w:bidi w:val="0"/>
        <w:spacing w:line="360" w:lineRule="auto"/>
        <w:ind w:left="422"/>
        <w:jc w:val="left"/>
        <w:outlineLvl w:val="1"/>
        <w:rPr>
          <w:rFonts w:hint="eastAsia" w:ascii="宋体" w:hAnsi="宋体" w:eastAsia="宋体" w:cs="宋体"/>
          <w:b/>
          <w:bCs/>
          <w:szCs w:val="21"/>
        </w:rPr>
      </w:pPr>
      <w:bookmarkStart w:id="12" w:name="_Toc27827"/>
      <w:r>
        <w:rPr>
          <w:rFonts w:hint="eastAsia" w:ascii="宋体" w:hAnsi="宋体" w:eastAsia="宋体" w:cs="宋体"/>
          <w:b/>
          <w:bCs/>
          <w:szCs w:val="21"/>
        </w:rPr>
        <w:t>质保期</w:t>
      </w:r>
      <w:bookmarkEnd w:id="12"/>
    </w:p>
    <w:p>
      <w:pPr>
        <w:pageBreakBefore w:val="0"/>
        <w:kinsoku/>
        <w:wordWrap/>
        <w:overflowPunct/>
        <w:topLinePunct w:val="0"/>
        <w:bidi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1.中标人应对任何由于不当包装或防护措施不利而导致的商品损坏、损失、锈蚀、费用增长等后果负责。</w:t>
      </w:r>
    </w:p>
    <w:p>
      <w:pPr>
        <w:pageBreakBefore w:val="0"/>
        <w:kinsoku/>
        <w:wordWrap/>
        <w:overflowPunct/>
        <w:topLinePunct w:val="0"/>
        <w:bidi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2.本项目要求中标人向用户提供必要的安装调试的服务。</w:t>
      </w:r>
    </w:p>
    <w:p>
      <w:pPr>
        <w:pageBreakBefore w:val="0"/>
        <w:kinsoku/>
        <w:wordWrap/>
        <w:overflowPunct/>
        <w:topLinePunct w:val="0"/>
        <w:bidi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3.中标人保证向用户提供至少2年（从设备验收报告记载的验收合格之日起）的质量保修服务。质保期内，任何由设备本身用材和制造工艺不当或制造过程控制不当引起的质量问题，由中标人或中标人联系制造商负责免费维修。质保期满前1个月内中标人应负责一次免费全面检查，并写出正式报告，如发现潜在问题，应负责排除。</w:t>
      </w:r>
    </w:p>
    <w:p>
      <w:pPr>
        <w:pStyle w:val="38"/>
        <w:pageBreakBefore w:val="0"/>
        <w:numPr>
          <w:ilvl w:val="0"/>
          <w:numId w:val="42"/>
        </w:numPr>
        <w:kinsoku/>
        <w:wordWrap/>
        <w:overflowPunct/>
        <w:topLinePunct w:val="0"/>
        <w:bidi w:val="0"/>
        <w:spacing w:line="360" w:lineRule="auto"/>
        <w:ind w:left="422"/>
        <w:jc w:val="left"/>
        <w:outlineLvl w:val="1"/>
        <w:rPr>
          <w:rFonts w:hint="eastAsia" w:ascii="宋体" w:hAnsi="宋体" w:eastAsia="宋体" w:cs="宋体"/>
          <w:b/>
          <w:bCs/>
          <w:szCs w:val="21"/>
        </w:rPr>
      </w:pPr>
      <w:bookmarkStart w:id="13" w:name="_Toc1940"/>
      <w:r>
        <w:rPr>
          <w:rFonts w:hint="eastAsia" w:ascii="宋体" w:hAnsi="宋体" w:eastAsia="宋体" w:cs="宋体"/>
          <w:b/>
          <w:bCs/>
          <w:szCs w:val="21"/>
        </w:rPr>
        <w:t>验收标准</w:t>
      </w:r>
      <w:bookmarkEnd w:id="13"/>
    </w:p>
    <w:p>
      <w:pPr>
        <w:pageBreakBefore w:val="0"/>
        <w:widowControl/>
        <w:numPr>
          <w:ilvl w:val="255"/>
          <w:numId w:val="0"/>
        </w:numPr>
        <w:kinsoku/>
        <w:wordWrap/>
        <w:overflowPunct/>
        <w:topLinePunct w:val="0"/>
        <w:bidi w:val="0"/>
        <w:spacing w:line="360" w:lineRule="auto"/>
        <w:ind w:firstLine="420" w:firstLineChars="200"/>
        <w:rPr>
          <w:rFonts w:hint="eastAsia" w:ascii="宋体" w:hAnsi="宋体" w:eastAsia="宋体" w:cs="宋体"/>
          <w:szCs w:val="21"/>
        </w:rPr>
      </w:pPr>
      <w:bookmarkStart w:id="14" w:name="_Hlk128381732"/>
      <w:r>
        <w:rPr>
          <w:rFonts w:hint="eastAsia" w:ascii="宋体" w:hAnsi="宋体" w:eastAsia="宋体" w:cs="宋体"/>
          <w:szCs w:val="21"/>
        </w:rPr>
        <w:t>1</w:t>
      </w:r>
      <w:r>
        <w:rPr>
          <w:rFonts w:hint="eastAsia" w:ascii="宋体" w:hAnsi="宋体" w:eastAsia="宋体" w:cs="宋体"/>
          <w:szCs w:val="21"/>
          <w:lang w:val="en-US" w:eastAsia="zh-CN"/>
        </w:rPr>
        <w:t>.</w:t>
      </w:r>
      <w:r>
        <w:rPr>
          <w:rFonts w:hint="eastAsia" w:ascii="宋体" w:hAnsi="宋体" w:eastAsia="宋体" w:cs="宋体"/>
          <w:szCs w:val="21"/>
        </w:rPr>
        <w:t>设备性能：满足施工图设计及本技术要求规定的性能要求；</w:t>
      </w:r>
    </w:p>
    <w:p>
      <w:pPr>
        <w:pageBreakBefore w:val="0"/>
        <w:widowControl/>
        <w:numPr>
          <w:ilvl w:val="255"/>
          <w:numId w:val="0"/>
        </w:numPr>
        <w:kinsoku/>
        <w:wordWrap/>
        <w:overflowPunct/>
        <w:topLinePunct w:val="0"/>
        <w:bidi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★2</w:t>
      </w:r>
      <w:r>
        <w:rPr>
          <w:rFonts w:hint="eastAsia" w:ascii="宋体" w:hAnsi="宋体" w:eastAsia="宋体" w:cs="宋体"/>
          <w:szCs w:val="21"/>
          <w:lang w:val="en-US" w:eastAsia="zh-CN"/>
        </w:rPr>
        <w:t>.</w:t>
      </w:r>
      <w:r>
        <w:rPr>
          <w:rFonts w:hint="eastAsia" w:ascii="宋体" w:hAnsi="宋体" w:eastAsia="宋体" w:cs="宋体"/>
          <w:szCs w:val="21"/>
        </w:rPr>
        <w:t>设备稳定性：</w:t>
      </w:r>
      <w:r>
        <w:rPr>
          <w:rFonts w:hint="eastAsia" w:ascii="宋体" w:hAnsi="宋体" w:eastAsia="宋体" w:cs="宋体"/>
          <w:b w:val="0"/>
          <w:bCs w:val="0"/>
          <w:sz w:val="21"/>
          <w:szCs w:val="21"/>
          <w:lang w:val="en-US" w:eastAsia="zh-CN"/>
        </w:rPr>
        <w:t>满足污泥脱水干化系统功能包连续7天、每天24小时试运行检测期内稳定运行的要求</w:t>
      </w:r>
      <w:r>
        <w:rPr>
          <w:rFonts w:hint="eastAsia" w:ascii="宋体" w:hAnsi="宋体" w:eastAsia="宋体" w:cs="宋体"/>
          <w:szCs w:val="21"/>
        </w:rPr>
        <w:t>。</w:t>
      </w:r>
    </w:p>
    <w:p>
      <w:pPr>
        <w:pageBreakBefore w:val="0"/>
        <w:widowControl/>
        <w:numPr>
          <w:ilvl w:val="255"/>
          <w:numId w:val="0"/>
        </w:numPr>
        <w:kinsoku/>
        <w:wordWrap/>
        <w:overflowPunct/>
        <w:topLinePunct w:val="0"/>
        <w:bidi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3</w:t>
      </w:r>
      <w:r>
        <w:rPr>
          <w:rFonts w:hint="eastAsia" w:ascii="宋体" w:hAnsi="宋体" w:eastAsia="宋体" w:cs="宋体"/>
          <w:szCs w:val="21"/>
          <w:lang w:val="en-US" w:eastAsia="zh-CN"/>
        </w:rPr>
        <w:t>.</w:t>
      </w:r>
      <w:r>
        <w:rPr>
          <w:rFonts w:hint="eastAsia" w:ascii="宋体" w:hAnsi="宋体" w:eastAsia="宋体" w:cs="宋体"/>
          <w:szCs w:val="21"/>
        </w:rPr>
        <w:t>质量标准符合国家、行业标准。</w:t>
      </w:r>
      <w:bookmarkStart w:id="15" w:name="_Hlk128382782"/>
      <w:bookmarkStart w:id="16" w:name="_Hlk128382902"/>
      <w:r>
        <w:rPr>
          <w:rFonts w:hint="eastAsia" w:ascii="宋体" w:hAnsi="宋体" w:eastAsia="宋体" w:cs="宋体"/>
          <w:szCs w:val="21"/>
        </w:rPr>
        <w:t>凡属于国家规定强制检测的设备项目，都必须具备计量质检部门的检测合格证</w:t>
      </w:r>
      <w:bookmarkEnd w:id="15"/>
      <w:r>
        <w:rPr>
          <w:rFonts w:hint="eastAsia" w:ascii="宋体" w:hAnsi="宋体" w:eastAsia="宋体" w:cs="宋体"/>
          <w:szCs w:val="21"/>
        </w:rPr>
        <w:t>。</w:t>
      </w:r>
    </w:p>
    <w:bookmarkEnd w:id="16"/>
    <w:p>
      <w:pPr>
        <w:pageBreakBefore w:val="0"/>
        <w:widowControl/>
        <w:numPr>
          <w:ilvl w:val="255"/>
          <w:numId w:val="0"/>
        </w:numPr>
        <w:kinsoku/>
        <w:wordWrap/>
        <w:overflowPunct/>
        <w:topLinePunct w:val="0"/>
        <w:bidi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4</w:t>
      </w:r>
      <w:r>
        <w:rPr>
          <w:rFonts w:hint="eastAsia" w:ascii="宋体" w:hAnsi="宋体" w:eastAsia="宋体" w:cs="宋体"/>
          <w:szCs w:val="21"/>
          <w:lang w:val="en-US" w:eastAsia="zh-CN"/>
        </w:rPr>
        <w:t>.</w:t>
      </w:r>
      <w:r>
        <w:rPr>
          <w:rFonts w:hint="eastAsia" w:ascii="宋体" w:hAnsi="宋体" w:eastAsia="宋体" w:cs="宋体"/>
          <w:szCs w:val="21"/>
        </w:rPr>
        <w:t>货物是原厂出产的、全新的、未使用过的、并保证所提供清单内设备的规格尺寸与数量完全相匹配。</w:t>
      </w:r>
    </w:p>
    <w:p>
      <w:pPr>
        <w:pageBreakBefore w:val="0"/>
        <w:widowControl/>
        <w:numPr>
          <w:ilvl w:val="255"/>
          <w:numId w:val="0"/>
        </w:numPr>
        <w:kinsoku/>
        <w:wordWrap/>
        <w:overflowPunct/>
        <w:topLinePunct w:val="0"/>
        <w:bidi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5</w:t>
      </w:r>
      <w:bookmarkStart w:id="17" w:name="_Hlk128382927"/>
      <w:r>
        <w:rPr>
          <w:rFonts w:hint="eastAsia" w:ascii="宋体" w:hAnsi="宋体" w:eastAsia="宋体" w:cs="宋体"/>
          <w:szCs w:val="21"/>
          <w:lang w:val="en-US" w:eastAsia="zh-CN"/>
        </w:rPr>
        <w:t>.</w:t>
      </w:r>
      <w:r>
        <w:rPr>
          <w:rFonts w:hint="eastAsia" w:ascii="宋体" w:hAnsi="宋体" w:eastAsia="宋体" w:cs="宋体"/>
          <w:szCs w:val="21"/>
        </w:rPr>
        <w:t>所有合同设备均应在安装后按照技术规范要求进行调试，以证明其适用性和保证值，若有不符合技术性能要求的情况，甲方拒绝验收。</w:t>
      </w:r>
      <w:bookmarkEnd w:id="17"/>
    </w:p>
    <w:p>
      <w:pPr>
        <w:pageBreakBefore w:val="0"/>
        <w:widowControl/>
        <w:numPr>
          <w:ilvl w:val="255"/>
          <w:numId w:val="0"/>
        </w:numPr>
        <w:kinsoku/>
        <w:wordWrap/>
        <w:overflowPunct/>
        <w:topLinePunct w:val="0"/>
        <w:bidi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6</w:t>
      </w:r>
      <w:bookmarkStart w:id="18" w:name="_Hlk128382940"/>
      <w:r>
        <w:rPr>
          <w:rFonts w:hint="eastAsia" w:ascii="宋体" w:hAnsi="宋体" w:eastAsia="宋体" w:cs="宋体"/>
          <w:szCs w:val="21"/>
          <w:lang w:val="en-US" w:eastAsia="zh-CN"/>
        </w:rPr>
        <w:t>.</w:t>
      </w:r>
      <w:r>
        <w:rPr>
          <w:rFonts w:hint="eastAsia" w:ascii="宋体" w:hAnsi="宋体" w:eastAsia="宋体" w:cs="宋体"/>
          <w:szCs w:val="21"/>
        </w:rPr>
        <w:t>乙方已按照合同规定提供了全部产品及完整的技术资料（如出厂检测报告、产品合格证和安装图纸等）。</w:t>
      </w:r>
      <w:bookmarkEnd w:id="18"/>
    </w:p>
    <w:p>
      <w:pPr>
        <w:pageBreakBefore w:val="0"/>
        <w:widowControl/>
        <w:numPr>
          <w:ilvl w:val="255"/>
          <w:numId w:val="0"/>
        </w:numPr>
        <w:kinsoku/>
        <w:wordWrap/>
        <w:overflowPunct/>
        <w:topLinePunct w:val="0"/>
        <w:bidi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7</w:t>
      </w:r>
      <w:bookmarkStart w:id="19" w:name="_Hlk128382957"/>
      <w:r>
        <w:rPr>
          <w:rFonts w:hint="eastAsia" w:ascii="宋体" w:hAnsi="宋体" w:eastAsia="宋体" w:cs="宋体"/>
          <w:szCs w:val="21"/>
          <w:lang w:val="en-US" w:eastAsia="zh-CN"/>
        </w:rPr>
        <w:t>.</w:t>
      </w:r>
      <w:r>
        <w:rPr>
          <w:rFonts w:hint="eastAsia" w:ascii="宋体" w:hAnsi="宋体" w:eastAsia="宋体" w:cs="宋体"/>
          <w:szCs w:val="21"/>
        </w:rPr>
        <w:t>产品符合招标文件相关使用要求，性能满足技术要求。设备的性能应符合技术规格要求指标及投标人应答文件中承诺的技术指标。</w:t>
      </w:r>
      <w:bookmarkEnd w:id="19"/>
    </w:p>
    <w:p>
      <w:pPr>
        <w:pageBreakBefore w:val="0"/>
        <w:widowControl/>
        <w:numPr>
          <w:ilvl w:val="255"/>
          <w:numId w:val="0"/>
        </w:numPr>
        <w:kinsoku/>
        <w:wordWrap/>
        <w:overflowPunct/>
        <w:topLinePunct w:val="0"/>
        <w:bidi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8</w:t>
      </w:r>
      <w:bookmarkStart w:id="20" w:name="_Hlk128382842"/>
      <w:r>
        <w:rPr>
          <w:rFonts w:hint="eastAsia" w:ascii="宋体" w:hAnsi="宋体" w:eastAsia="宋体" w:cs="宋体"/>
          <w:szCs w:val="21"/>
          <w:lang w:val="en-US" w:eastAsia="zh-CN"/>
        </w:rPr>
        <w:t>.</w:t>
      </w:r>
      <w:r>
        <w:rPr>
          <w:rFonts w:hint="eastAsia" w:ascii="宋体" w:hAnsi="宋体" w:eastAsia="宋体" w:cs="宋体"/>
          <w:szCs w:val="21"/>
        </w:rPr>
        <w:t>性能测试和试运行验收时出现的问题已被解决，</w:t>
      </w:r>
      <w:r>
        <w:rPr>
          <w:rFonts w:hint="eastAsia" w:ascii="宋体" w:hAnsi="宋体" w:eastAsia="宋体" w:cs="宋体"/>
          <w:szCs w:val="21"/>
          <w:u w:val="single"/>
        </w:rPr>
        <w:t>并完成对甲方人员必要的培训。</w:t>
      </w:r>
      <w:bookmarkEnd w:id="20"/>
    </w:p>
    <w:bookmarkEnd w:id="14"/>
    <w:p>
      <w:pPr>
        <w:pStyle w:val="38"/>
        <w:pageBreakBefore w:val="0"/>
        <w:widowControl/>
        <w:numPr>
          <w:ilvl w:val="0"/>
          <w:numId w:val="43"/>
        </w:numPr>
        <w:kinsoku/>
        <w:wordWrap/>
        <w:overflowPunct/>
        <w:topLinePunct w:val="0"/>
        <w:bidi w:val="0"/>
        <w:spacing w:line="360" w:lineRule="auto"/>
        <w:ind w:left="422"/>
        <w:jc w:val="left"/>
        <w:outlineLvl w:val="1"/>
        <w:rPr>
          <w:rFonts w:hint="eastAsia" w:ascii="宋体" w:hAnsi="宋体" w:eastAsia="宋体" w:cs="宋体"/>
          <w:b/>
          <w:bCs/>
          <w:szCs w:val="21"/>
        </w:rPr>
      </w:pPr>
      <w:bookmarkStart w:id="21" w:name="_Toc18883"/>
      <w:r>
        <w:rPr>
          <w:rFonts w:hint="eastAsia" w:ascii="宋体" w:hAnsi="宋体" w:eastAsia="宋体" w:cs="宋体"/>
          <w:b/>
          <w:bCs/>
          <w:szCs w:val="21"/>
        </w:rPr>
        <w:t>违约处罚</w:t>
      </w:r>
      <w:bookmarkEnd w:id="21"/>
    </w:p>
    <w:p>
      <w:pPr>
        <w:pageBreakBefore w:val="0"/>
        <w:kinsoku/>
        <w:wordWrap/>
        <w:overflowPunct/>
        <w:topLinePunct w:val="0"/>
        <w:bidi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1</w:t>
      </w:r>
      <w:r>
        <w:rPr>
          <w:rFonts w:hint="eastAsia" w:ascii="宋体" w:hAnsi="宋体" w:eastAsia="宋体" w:cs="宋体"/>
          <w:szCs w:val="21"/>
          <w:lang w:val="en-US" w:eastAsia="zh-CN"/>
        </w:rPr>
        <w:t>.</w:t>
      </w:r>
      <w:r>
        <w:rPr>
          <w:rFonts w:hint="eastAsia" w:ascii="宋体" w:hAnsi="宋体" w:eastAsia="宋体" w:cs="宋体"/>
          <w:szCs w:val="21"/>
        </w:rPr>
        <w:t>因中标人原因造成本工程通水稳定达标日（连续七天稳定达标）\环保验收（环保验收公示结束日）晚于最迟通水稳定达标日的，自最迟通水稳定达标日的次日起，中标人须向采购人支付人民币2万元/日的违约金，违约金最高不超过合同价的10%，直至改正为止。</w:t>
      </w:r>
    </w:p>
    <w:p>
      <w:pPr>
        <w:pageBreakBefore w:val="0"/>
        <w:kinsoku/>
        <w:wordWrap/>
        <w:overflowPunct/>
        <w:topLinePunct w:val="0"/>
        <w:bidi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2</w:t>
      </w:r>
      <w:r>
        <w:rPr>
          <w:rFonts w:hint="eastAsia" w:ascii="宋体" w:hAnsi="宋体" w:eastAsia="宋体" w:cs="宋体"/>
          <w:szCs w:val="21"/>
          <w:lang w:val="en-US" w:eastAsia="zh-CN"/>
        </w:rPr>
        <w:t>.</w:t>
      </w:r>
      <w:r>
        <w:rPr>
          <w:rFonts w:hint="eastAsia" w:ascii="宋体" w:hAnsi="宋体" w:eastAsia="宋体" w:cs="宋体"/>
          <w:szCs w:val="21"/>
        </w:rPr>
        <w:t>如因设备及设备服务问题造成本工程竣工验收质量未达到合同约定的标准，中标人承担以下违约责任：本工程要求竣工验收一次性通过。在第一次竣工验收时，若中标人设备及设备服务原因造成验收委员会评定工程质量达不到本合同约定的质量标准且要求采购人返工或修复后重新验收的，即被认定为工程竣工验收没有一次性通过。中标人应按下列标准支付违约金：每发生一次向采购人支付违约金为合同价的0.1%～0.5%，违约金累计计算，最高不超过合同价的10%。由此造成买方其他损失的，卖方还须赔偿买方的全部损失。</w:t>
      </w:r>
    </w:p>
    <w:p>
      <w:pPr>
        <w:pageBreakBefore w:val="0"/>
        <w:kinsoku/>
        <w:wordWrap/>
        <w:overflowPunct/>
        <w:topLinePunct w:val="0"/>
        <w:bidi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3</w:t>
      </w:r>
      <w:r>
        <w:rPr>
          <w:rFonts w:hint="eastAsia" w:ascii="宋体" w:hAnsi="宋体" w:eastAsia="宋体" w:cs="宋体"/>
          <w:szCs w:val="21"/>
          <w:lang w:val="en-US" w:eastAsia="zh-CN"/>
        </w:rPr>
        <w:t>.</w:t>
      </w:r>
      <w:r>
        <w:rPr>
          <w:rFonts w:hint="eastAsia" w:ascii="宋体" w:hAnsi="宋体" w:eastAsia="宋体" w:cs="宋体"/>
          <w:szCs w:val="21"/>
        </w:rPr>
        <w:t>如中标人的违约行为同时触犯上述多个违约条款时，违约金叠加计算，违约金最高不超过合同价的10%。</w:t>
      </w:r>
    </w:p>
    <w:p>
      <w:pPr>
        <w:pageBreakBefore w:val="0"/>
        <w:kinsoku/>
        <w:wordWrap/>
        <w:overflowPunct/>
        <w:topLinePunct w:val="0"/>
        <w:bidi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4</w:t>
      </w:r>
      <w:r>
        <w:rPr>
          <w:rFonts w:hint="eastAsia" w:ascii="宋体" w:hAnsi="宋体" w:eastAsia="宋体" w:cs="宋体"/>
          <w:szCs w:val="21"/>
          <w:lang w:val="en-US" w:eastAsia="zh-CN"/>
        </w:rPr>
        <w:t>.</w:t>
      </w:r>
      <w:r>
        <w:rPr>
          <w:rFonts w:hint="eastAsia" w:ascii="宋体" w:hAnsi="宋体" w:eastAsia="宋体" w:cs="宋体"/>
          <w:szCs w:val="21"/>
        </w:rPr>
        <w:t>详细违约处罚条款见合同约定。</w:t>
      </w:r>
    </w:p>
    <w:p>
      <w:pPr>
        <w:pageBreakBefore w:val="0"/>
        <w:tabs>
          <w:tab w:val="left" w:pos="840"/>
          <w:tab w:val="left" w:pos="7770"/>
        </w:tabs>
        <w:kinsoku/>
        <w:wordWrap/>
        <w:overflowPunct/>
        <w:topLinePunct w:val="0"/>
        <w:bidi w:val="0"/>
        <w:spacing w:line="360" w:lineRule="auto"/>
        <w:ind w:right="745" w:rightChars="355"/>
        <w:rPr>
          <w:rFonts w:hint="eastAsia" w:ascii="宋体" w:hAnsi="宋体" w:eastAsia="宋体" w:cs="宋体"/>
          <w:szCs w:val="21"/>
        </w:rPr>
      </w:pPr>
    </w:p>
    <w:p>
      <w:pPr>
        <w:pageBreakBefore w:val="0"/>
        <w:tabs>
          <w:tab w:val="left" w:pos="840"/>
          <w:tab w:val="left" w:pos="7770"/>
        </w:tabs>
        <w:kinsoku/>
        <w:wordWrap/>
        <w:overflowPunct/>
        <w:topLinePunct w:val="0"/>
        <w:bidi w:val="0"/>
        <w:spacing w:line="360" w:lineRule="auto"/>
        <w:ind w:right="745" w:rightChars="355"/>
        <w:rPr>
          <w:rFonts w:hint="eastAsia" w:ascii="宋体" w:hAnsi="宋体" w:eastAsia="宋体" w:cs="宋体"/>
          <w:szCs w:val="21"/>
        </w:rPr>
      </w:pPr>
      <w:r>
        <w:rPr>
          <w:rFonts w:hint="eastAsia" w:ascii="宋体" w:hAnsi="宋体" w:eastAsia="宋体" w:cs="宋体"/>
          <w:szCs w:val="21"/>
        </w:rPr>
        <w:t>注：本章节中“招标人”、“甲方”指采购人，“投标人”、“乙方”指本项目的中标人。</w:t>
      </w:r>
    </w:p>
    <w:p>
      <w:pPr>
        <w:spacing w:line="360" w:lineRule="auto"/>
        <w:rPr>
          <w:rFonts w:hint="eastAsia" w:ascii="宋体" w:hAnsi="宋体" w:eastAsia="宋体" w:cs="宋体"/>
          <w:szCs w:val="28"/>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rPr>
        <w:rFonts w:hint="eastAsia"/>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rPr>
                              <w:rFonts w:hint="eastAsia"/>
                            </w:rP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0O3bcsAgAAV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vQ7dtywCAABVBAAADgAAAAAAAAABACAAAAAfAQAAZHJzL2Uyb0RvYy54bWxQSwUGAAAAAAYA&#10;BgBZAQAAvQUAAAAA&#10;">
              <v:fill on="f" focussize="0,0"/>
              <v:stroke on="f" weight="0.5pt"/>
              <v:imagedata o:title=""/>
              <o:lock v:ext="edit" aspectratio="f"/>
              <v:textbox inset="0mm,0mm,0mm,0mm" style="mso-fit-shape-to-text:t;">
                <w:txbxContent>
                  <w:p>
                    <w:pPr>
                      <w:pStyle w:val="8"/>
                      <w:rPr>
                        <w:rFonts w:hint="eastAsia"/>
                      </w:rPr>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65F319"/>
    <w:multiLevelType w:val="singleLevel"/>
    <w:tmpl w:val="8265F319"/>
    <w:lvl w:ilvl="0" w:tentative="0">
      <w:start w:val="2"/>
      <w:numFmt w:val="decimal"/>
      <w:suff w:val="nothing"/>
      <w:lvlText w:val="（%1）"/>
      <w:lvlJc w:val="left"/>
      <w:pPr>
        <w:tabs>
          <w:tab w:val="left" w:pos="420"/>
        </w:tabs>
        <w:ind w:left="0" w:firstLine="0"/>
      </w:pPr>
    </w:lvl>
  </w:abstractNum>
  <w:abstractNum w:abstractNumId="1">
    <w:nsid w:val="A324435D"/>
    <w:multiLevelType w:val="singleLevel"/>
    <w:tmpl w:val="A324435D"/>
    <w:lvl w:ilvl="0" w:tentative="0">
      <w:start w:val="1"/>
      <w:numFmt w:val="decimal"/>
      <w:lvlText w:val="%1."/>
      <w:lvlJc w:val="left"/>
      <w:pPr>
        <w:tabs>
          <w:tab w:val="left" w:pos="312"/>
        </w:tabs>
      </w:pPr>
    </w:lvl>
  </w:abstractNum>
  <w:abstractNum w:abstractNumId="2">
    <w:nsid w:val="E2437A41"/>
    <w:multiLevelType w:val="singleLevel"/>
    <w:tmpl w:val="E2437A41"/>
    <w:lvl w:ilvl="0" w:tentative="0">
      <w:start w:val="1"/>
      <w:numFmt w:val="decimal"/>
      <w:lvlText w:val="%1."/>
      <w:lvlJc w:val="left"/>
      <w:pPr>
        <w:tabs>
          <w:tab w:val="left" w:pos="312"/>
        </w:tabs>
      </w:pPr>
    </w:lvl>
  </w:abstractNum>
  <w:abstractNum w:abstractNumId="3">
    <w:nsid w:val="FF599793"/>
    <w:multiLevelType w:val="singleLevel"/>
    <w:tmpl w:val="FF599793"/>
    <w:lvl w:ilvl="0" w:tentative="0">
      <w:start w:val="1"/>
      <w:numFmt w:val="decimal"/>
      <w:suff w:val="nothing"/>
      <w:lvlText w:val="（%1）"/>
      <w:lvlJc w:val="left"/>
      <w:pPr>
        <w:tabs>
          <w:tab w:val="left" w:pos="420"/>
        </w:tabs>
        <w:ind w:left="0" w:firstLine="0"/>
      </w:pPr>
    </w:lvl>
  </w:abstractNum>
  <w:abstractNum w:abstractNumId="4">
    <w:nsid w:val="01665980"/>
    <w:multiLevelType w:val="singleLevel"/>
    <w:tmpl w:val="01665980"/>
    <w:lvl w:ilvl="0" w:tentative="0">
      <w:start w:val="3"/>
      <w:numFmt w:val="chineseCountingThousand"/>
      <w:suff w:val="nothing"/>
      <w:lvlText w:val="（%1）"/>
      <w:lvlJc w:val="left"/>
      <w:pPr>
        <w:ind w:left="0" w:firstLine="0"/>
      </w:pPr>
    </w:lvl>
  </w:abstractNum>
  <w:abstractNum w:abstractNumId="5">
    <w:nsid w:val="02BC25A4"/>
    <w:multiLevelType w:val="singleLevel"/>
    <w:tmpl w:val="02BC25A4"/>
    <w:lvl w:ilvl="0" w:tentative="0">
      <w:start w:val="2"/>
      <w:numFmt w:val="chineseCountingThousand"/>
      <w:suff w:val="nothing"/>
      <w:lvlText w:val="%1、"/>
      <w:lvlJc w:val="left"/>
      <w:pPr>
        <w:ind w:left="0" w:firstLine="0"/>
      </w:pPr>
    </w:lvl>
  </w:abstractNum>
  <w:abstractNum w:abstractNumId="6">
    <w:nsid w:val="041122DA"/>
    <w:multiLevelType w:val="singleLevel"/>
    <w:tmpl w:val="041122DA"/>
    <w:lvl w:ilvl="0" w:tentative="0">
      <w:start w:val="3"/>
      <w:numFmt w:val="decimal"/>
      <w:suff w:val="nothing"/>
      <w:lvlText w:val="%1．"/>
      <w:lvlJc w:val="left"/>
      <w:pPr>
        <w:ind w:left="0" w:firstLine="0"/>
      </w:pPr>
    </w:lvl>
  </w:abstractNum>
  <w:abstractNum w:abstractNumId="7">
    <w:nsid w:val="06CC6257"/>
    <w:multiLevelType w:val="singleLevel"/>
    <w:tmpl w:val="06CC6257"/>
    <w:lvl w:ilvl="0" w:tentative="0">
      <w:start w:val="1"/>
      <w:numFmt w:val="decimal"/>
      <w:suff w:val="nothing"/>
      <w:lvlText w:val="%1．"/>
      <w:lvlJc w:val="left"/>
      <w:pPr>
        <w:ind w:left="0" w:firstLine="0"/>
      </w:pPr>
    </w:lvl>
  </w:abstractNum>
  <w:abstractNum w:abstractNumId="8">
    <w:nsid w:val="092D33A7"/>
    <w:multiLevelType w:val="singleLevel"/>
    <w:tmpl w:val="092D33A7"/>
    <w:lvl w:ilvl="0" w:tentative="0">
      <w:start w:val="1"/>
      <w:numFmt w:val="chineseCountingThousand"/>
      <w:suff w:val="nothing"/>
      <w:lvlText w:val="（%1）"/>
      <w:lvlJc w:val="left"/>
      <w:pPr>
        <w:ind w:left="0" w:firstLine="0"/>
      </w:pPr>
    </w:lvl>
  </w:abstractNum>
  <w:abstractNum w:abstractNumId="9">
    <w:nsid w:val="0B421679"/>
    <w:multiLevelType w:val="singleLevel"/>
    <w:tmpl w:val="0B421679"/>
    <w:lvl w:ilvl="0" w:tentative="0">
      <w:start w:val="9"/>
      <w:numFmt w:val="decimal"/>
      <w:suff w:val="nothing"/>
      <w:lvlText w:val="%1．"/>
      <w:lvlJc w:val="left"/>
      <w:pPr>
        <w:ind w:left="0" w:firstLine="0"/>
      </w:pPr>
    </w:lvl>
  </w:abstractNum>
  <w:abstractNum w:abstractNumId="10">
    <w:nsid w:val="0C362B0E"/>
    <w:multiLevelType w:val="singleLevel"/>
    <w:tmpl w:val="0C362B0E"/>
    <w:lvl w:ilvl="0" w:tentative="0">
      <w:start w:val="1"/>
      <w:numFmt w:val="chineseCountingThousand"/>
      <w:suff w:val="nothing"/>
      <w:lvlText w:val="%1、"/>
      <w:lvlJc w:val="left"/>
      <w:pPr>
        <w:ind w:left="0" w:firstLine="0"/>
      </w:pPr>
    </w:lvl>
  </w:abstractNum>
  <w:abstractNum w:abstractNumId="11">
    <w:nsid w:val="0C903556"/>
    <w:multiLevelType w:val="singleLevel"/>
    <w:tmpl w:val="0C903556"/>
    <w:lvl w:ilvl="0" w:tentative="0">
      <w:start w:val="2"/>
      <w:numFmt w:val="chineseCountingThousand"/>
      <w:suff w:val="nothing"/>
      <w:lvlText w:val="（%1）"/>
      <w:lvlJc w:val="left"/>
      <w:pPr>
        <w:ind w:left="0" w:firstLine="0"/>
      </w:pPr>
    </w:lvl>
  </w:abstractNum>
  <w:abstractNum w:abstractNumId="12">
    <w:nsid w:val="0E2F500F"/>
    <w:multiLevelType w:val="singleLevel"/>
    <w:tmpl w:val="0E2F500F"/>
    <w:lvl w:ilvl="0" w:tentative="0">
      <w:start w:val="2"/>
      <w:numFmt w:val="decimal"/>
      <w:suff w:val="nothing"/>
      <w:lvlText w:val="%1．"/>
      <w:lvlJc w:val="left"/>
      <w:pPr>
        <w:ind w:left="0" w:firstLine="0"/>
      </w:pPr>
    </w:lvl>
  </w:abstractNum>
  <w:abstractNum w:abstractNumId="13">
    <w:nsid w:val="130E2B23"/>
    <w:multiLevelType w:val="singleLevel"/>
    <w:tmpl w:val="130E2B23"/>
    <w:lvl w:ilvl="0" w:tentative="0">
      <w:start w:val="6"/>
      <w:numFmt w:val="chineseCountingThousand"/>
      <w:suff w:val="nothing"/>
      <w:lvlText w:val="（%1）"/>
      <w:lvlJc w:val="left"/>
      <w:pPr>
        <w:ind w:left="0" w:firstLine="0"/>
      </w:pPr>
    </w:lvl>
  </w:abstractNum>
  <w:abstractNum w:abstractNumId="14">
    <w:nsid w:val="17C10725"/>
    <w:multiLevelType w:val="singleLevel"/>
    <w:tmpl w:val="17C10725"/>
    <w:lvl w:ilvl="0" w:tentative="0">
      <w:start w:val="2"/>
      <w:numFmt w:val="decimal"/>
      <w:suff w:val="nothing"/>
      <w:lvlText w:val="%1．"/>
      <w:lvlJc w:val="left"/>
      <w:pPr>
        <w:ind w:left="0" w:firstLine="0"/>
      </w:pPr>
    </w:lvl>
  </w:abstractNum>
  <w:abstractNum w:abstractNumId="15">
    <w:nsid w:val="1EAE3FA9"/>
    <w:multiLevelType w:val="singleLevel"/>
    <w:tmpl w:val="1EAE3FA9"/>
    <w:lvl w:ilvl="0" w:tentative="0">
      <w:start w:val="1"/>
      <w:numFmt w:val="decimal"/>
      <w:suff w:val="nothing"/>
      <w:lvlText w:val="%1．"/>
      <w:lvlJc w:val="left"/>
      <w:pPr>
        <w:ind w:left="0" w:firstLine="0"/>
      </w:pPr>
    </w:lvl>
  </w:abstractNum>
  <w:abstractNum w:abstractNumId="16">
    <w:nsid w:val="20F34DD6"/>
    <w:multiLevelType w:val="singleLevel"/>
    <w:tmpl w:val="20F34DD6"/>
    <w:lvl w:ilvl="0" w:tentative="0">
      <w:start w:val="4"/>
      <w:numFmt w:val="chineseCountingThousand"/>
      <w:suff w:val="nothing"/>
      <w:lvlText w:val="（%1）"/>
      <w:lvlJc w:val="left"/>
      <w:pPr>
        <w:ind w:left="0" w:firstLine="0"/>
      </w:pPr>
    </w:lvl>
  </w:abstractNum>
  <w:abstractNum w:abstractNumId="17">
    <w:nsid w:val="21EE6996"/>
    <w:multiLevelType w:val="singleLevel"/>
    <w:tmpl w:val="21EE6996"/>
    <w:lvl w:ilvl="0" w:tentative="0">
      <w:start w:val="4"/>
      <w:numFmt w:val="chineseCountingThousand"/>
      <w:suff w:val="nothing"/>
      <w:lvlText w:val="%1、"/>
      <w:lvlJc w:val="left"/>
      <w:pPr>
        <w:ind w:left="0" w:firstLine="0"/>
      </w:pPr>
    </w:lvl>
  </w:abstractNum>
  <w:abstractNum w:abstractNumId="18">
    <w:nsid w:val="23733039"/>
    <w:multiLevelType w:val="singleLevel"/>
    <w:tmpl w:val="23733039"/>
    <w:lvl w:ilvl="0" w:tentative="0">
      <w:start w:val="1"/>
      <w:numFmt w:val="chineseCountingThousand"/>
      <w:suff w:val="nothing"/>
      <w:lvlText w:val="（%1）"/>
      <w:lvlJc w:val="left"/>
      <w:pPr>
        <w:ind w:left="0" w:firstLine="0"/>
      </w:pPr>
    </w:lvl>
  </w:abstractNum>
  <w:abstractNum w:abstractNumId="19">
    <w:nsid w:val="25D10D19"/>
    <w:multiLevelType w:val="singleLevel"/>
    <w:tmpl w:val="25D10D19"/>
    <w:lvl w:ilvl="0" w:tentative="0">
      <w:start w:val="3"/>
      <w:numFmt w:val="decimal"/>
      <w:suff w:val="nothing"/>
      <w:lvlText w:val="%1．"/>
      <w:lvlJc w:val="left"/>
      <w:pPr>
        <w:ind w:left="0" w:firstLine="0"/>
      </w:pPr>
    </w:lvl>
  </w:abstractNum>
  <w:abstractNum w:abstractNumId="20">
    <w:nsid w:val="2783186E"/>
    <w:multiLevelType w:val="singleLevel"/>
    <w:tmpl w:val="2783186E"/>
    <w:lvl w:ilvl="0" w:tentative="0">
      <w:start w:val="1"/>
      <w:numFmt w:val="decimal"/>
      <w:suff w:val="nothing"/>
      <w:lvlText w:val="%1．"/>
      <w:lvlJc w:val="left"/>
      <w:pPr>
        <w:ind w:left="0" w:firstLine="0"/>
      </w:pPr>
    </w:lvl>
  </w:abstractNum>
  <w:abstractNum w:abstractNumId="21">
    <w:nsid w:val="32621AD5"/>
    <w:multiLevelType w:val="singleLevel"/>
    <w:tmpl w:val="32621AD5"/>
    <w:lvl w:ilvl="0" w:tentative="0">
      <w:start w:val="2"/>
      <w:numFmt w:val="decimal"/>
      <w:suff w:val="nothing"/>
      <w:lvlText w:val="%1．"/>
      <w:lvlJc w:val="left"/>
      <w:pPr>
        <w:ind w:left="0" w:firstLine="0"/>
      </w:pPr>
    </w:lvl>
  </w:abstractNum>
  <w:abstractNum w:abstractNumId="22">
    <w:nsid w:val="33FA28D6"/>
    <w:multiLevelType w:val="singleLevel"/>
    <w:tmpl w:val="33FA28D6"/>
    <w:lvl w:ilvl="0" w:tentative="0">
      <w:start w:val="2"/>
      <w:numFmt w:val="decimal"/>
      <w:suff w:val="nothing"/>
      <w:lvlText w:val="%1．"/>
      <w:lvlJc w:val="left"/>
      <w:pPr>
        <w:ind w:left="0" w:firstLine="0"/>
      </w:pPr>
    </w:lvl>
  </w:abstractNum>
  <w:abstractNum w:abstractNumId="23">
    <w:nsid w:val="340264AC"/>
    <w:multiLevelType w:val="singleLevel"/>
    <w:tmpl w:val="340264AC"/>
    <w:lvl w:ilvl="0" w:tentative="0">
      <w:start w:val="3"/>
      <w:numFmt w:val="decimal"/>
      <w:suff w:val="nothing"/>
      <w:lvlText w:val="%1．"/>
      <w:lvlJc w:val="left"/>
      <w:pPr>
        <w:ind w:left="0" w:firstLine="0"/>
      </w:pPr>
    </w:lvl>
  </w:abstractNum>
  <w:abstractNum w:abstractNumId="24">
    <w:nsid w:val="38E14E1A"/>
    <w:multiLevelType w:val="singleLevel"/>
    <w:tmpl w:val="38E14E1A"/>
    <w:lvl w:ilvl="0" w:tentative="0">
      <w:start w:val="6"/>
      <w:numFmt w:val="decimal"/>
      <w:suff w:val="nothing"/>
      <w:lvlText w:val="%1．"/>
      <w:lvlJc w:val="left"/>
      <w:pPr>
        <w:ind w:left="0" w:firstLine="0"/>
      </w:pPr>
    </w:lvl>
  </w:abstractNum>
  <w:abstractNum w:abstractNumId="25">
    <w:nsid w:val="3BB70DC1"/>
    <w:multiLevelType w:val="singleLevel"/>
    <w:tmpl w:val="3BB70DC1"/>
    <w:lvl w:ilvl="0" w:tentative="0">
      <w:start w:val="4"/>
      <w:numFmt w:val="decimal"/>
      <w:suff w:val="nothing"/>
      <w:lvlText w:val="%1．"/>
      <w:lvlJc w:val="left"/>
      <w:pPr>
        <w:ind w:left="0" w:firstLine="0"/>
      </w:pPr>
    </w:lvl>
  </w:abstractNum>
  <w:abstractNum w:abstractNumId="26">
    <w:nsid w:val="3EC8431E"/>
    <w:multiLevelType w:val="singleLevel"/>
    <w:tmpl w:val="3EC8431E"/>
    <w:lvl w:ilvl="0" w:tentative="0">
      <w:start w:val="2"/>
      <w:numFmt w:val="decimal"/>
      <w:suff w:val="nothing"/>
      <w:lvlText w:val="%1．"/>
      <w:lvlJc w:val="left"/>
      <w:pPr>
        <w:ind w:left="0" w:firstLine="0"/>
      </w:pPr>
    </w:lvl>
  </w:abstractNum>
  <w:abstractNum w:abstractNumId="27">
    <w:nsid w:val="48680C83"/>
    <w:multiLevelType w:val="singleLevel"/>
    <w:tmpl w:val="48680C83"/>
    <w:lvl w:ilvl="0" w:tentative="0">
      <w:start w:val="3"/>
      <w:numFmt w:val="chineseCountingThousand"/>
      <w:suff w:val="nothing"/>
      <w:lvlText w:val="%1、"/>
      <w:lvlJc w:val="left"/>
      <w:pPr>
        <w:ind w:left="0" w:firstLine="0"/>
      </w:pPr>
    </w:lvl>
  </w:abstractNum>
  <w:abstractNum w:abstractNumId="28">
    <w:nsid w:val="4A1A7DE1"/>
    <w:multiLevelType w:val="singleLevel"/>
    <w:tmpl w:val="4A1A7DE1"/>
    <w:lvl w:ilvl="0" w:tentative="0">
      <w:start w:val="1"/>
      <w:numFmt w:val="chineseCountingThousand"/>
      <w:suff w:val="nothing"/>
      <w:lvlText w:val="（%1）"/>
      <w:lvlJc w:val="left"/>
      <w:pPr>
        <w:ind w:left="0" w:firstLine="0"/>
      </w:pPr>
    </w:lvl>
  </w:abstractNum>
  <w:abstractNum w:abstractNumId="29">
    <w:nsid w:val="4CF2273F"/>
    <w:multiLevelType w:val="singleLevel"/>
    <w:tmpl w:val="4CF2273F"/>
    <w:lvl w:ilvl="0" w:tentative="0">
      <w:start w:val="4"/>
      <w:numFmt w:val="decimal"/>
      <w:suff w:val="nothing"/>
      <w:lvlText w:val="%1．"/>
      <w:lvlJc w:val="left"/>
      <w:pPr>
        <w:ind w:left="0" w:firstLine="0"/>
      </w:pPr>
    </w:lvl>
  </w:abstractNum>
  <w:abstractNum w:abstractNumId="30">
    <w:nsid w:val="4ED7602F"/>
    <w:multiLevelType w:val="singleLevel"/>
    <w:tmpl w:val="4ED7602F"/>
    <w:lvl w:ilvl="0" w:tentative="0">
      <w:start w:val="1"/>
      <w:numFmt w:val="decimal"/>
      <w:suff w:val="nothing"/>
      <w:lvlText w:val="%1．"/>
      <w:lvlJc w:val="left"/>
      <w:pPr>
        <w:ind w:left="0" w:firstLine="0"/>
      </w:pPr>
    </w:lvl>
  </w:abstractNum>
  <w:abstractNum w:abstractNumId="31">
    <w:nsid w:val="4F6C38B9"/>
    <w:multiLevelType w:val="singleLevel"/>
    <w:tmpl w:val="4F6C38B9"/>
    <w:lvl w:ilvl="0" w:tentative="0">
      <w:start w:val="5"/>
      <w:numFmt w:val="decimal"/>
      <w:suff w:val="nothing"/>
      <w:lvlText w:val="%1．"/>
      <w:lvlJc w:val="left"/>
      <w:pPr>
        <w:ind w:left="0" w:firstLine="0"/>
      </w:pPr>
    </w:lvl>
  </w:abstractNum>
  <w:abstractNum w:abstractNumId="32">
    <w:nsid w:val="52391B17"/>
    <w:multiLevelType w:val="singleLevel"/>
    <w:tmpl w:val="52391B17"/>
    <w:lvl w:ilvl="0" w:tentative="0">
      <w:start w:val="5"/>
      <w:numFmt w:val="chineseCountingThousand"/>
      <w:suff w:val="nothing"/>
      <w:lvlText w:val="（%1）"/>
      <w:lvlJc w:val="left"/>
      <w:pPr>
        <w:ind w:left="0" w:firstLine="0"/>
      </w:pPr>
    </w:lvl>
  </w:abstractNum>
  <w:abstractNum w:abstractNumId="33">
    <w:nsid w:val="5A01DE80"/>
    <w:multiLevelType w:val="singleLevel"/>
    <w:tmpl w:val="5A01DE80"/>
    <w:lvl w:ilvl="0" w:tentative="0">
      <w:start w:val="1"/>
      <w:numFmt w:val="decimal"/>
      <w:lvlText w:val="%1."/>
      <w:lvlJc w:val="left"/>
      <w:pPr>
        <w:tabs>
          <w:tab w:val="left" w:pos="312"/>
        </w:tabs>
      </w:pPr>
    </w:lvl>
  </w:abstractNum>
  <w:abstractNum w:abstractNumId="34">
    <w:nsid w:val="5B0346D0"/>
    <w:multiLevelType w:val="singleLevel"/>
    <w:tmpl w:val="5B0346D0"/>
    <w:lvl w:ilvl="0" w:tentative="0">
      <w:start w:val="7"/>
      <w:numFmt w:val="decimal"/>
      <w:suff w:val="nothing"/>
      <w:lvlText w:val="%1．"/>
      <w:lvlJc w:val="left"/>
      <w:pPr>
        <w:ind w:left="0" w:firstLine="0"/>
      </w:pPr>
    </w:lvl>
  </w:abstractNum>
  <w:abstractNum w:abstractNumId="35">
    <w:nsid w:val="62BE4F11"/>
    <w:multiLevelType w:val="singleLevel"/>
    <w:tmpl w:val="62BE4F11"/>
    <w:lvl w:ilvl="0" w:tentative="0">
      <w:start w:val="3"/>
      <w:numFmt w:val="chineseCountingThousand"/>
      <w:suff w:val="nothing"/>
      <w:lvlText w:val="（%1）"/>
      <w:lvlJc w:val="left"/>
      <w:pPr>
        <w:ind w:left="0" w:firstLine="0"/>
      </w:pPr>
    </w:lvl>
  </w:abstractNum>
  <w:abstractNum w:abstractNumId="36">
    <w:nsid w:val="639506F0"/>
    <w:multiLevelType w:val="singleLevel"/>
    <w:tmpl w:val="639506F0"/>
    <w:lvl w:ilvl="0" w:tentative="0">
      <w:start w:val="10"/>
      <w:numFmt w:val="decimal"/>
      <w:suff w:val="nothing"/>
      <w:lvlText w:val="%1．"/>
      <w:lvlJc w:val="left"/>
      <w:pPr>
        <w:ind w:left="0" w:firstLine="0"/>
      </w:pPr>
    </w:lvl>
  </w:abstractNum>
  <w:abstractNum w:abstractNumId="37">
    <w:nsid w:val="63A27DFE"/>
    <w:multiLevelType w:val="singleLevel"/>
    <w:tmpl w:val="63A27DFE"/>
    <w:lvl w:ilvl="0" w:tentative="0">
      <w:start w:val="8"/>
      <w:numFmt w:val="decimal"/>
      <w:suff w:val="nothing"/>
      <w:lvlText w:val="%1．"/>
      <w:lvlJc w:val="left"/>
      <w:pPr>
        <w:ind w:left="0" w:firstLine="0"/>
      </w:pPr>
    </w:lvl>
  </w:abstractNum>
  <w:abstractNum w:abstractNumId="38">
    <w:nsid w:val="63AF313E"/>
    <w:multiLevelType w:val="singleLevel"/>
    <w:tmpl w:val="63AF313E"/>
    <w:lvl w:ilvl="0" w:tentative="0">
      <w:start w:val="1"/>
      <w:numFmt w:val="decimal"/>
      <w:lvlText w:val="%1."/>
      <w:lvlJc w:val="left"/>
      <w:pPr>
        <w:tabs>
          <w:tab w:val="left" w:pos="312"/>
        </w:tabs>
      </w:pPr>
    </w:lvl>
  </w:abstractNum>
  <w:abstractNum w:abstractNumId="39">
    <w:nsid w:val="666574DB"/>
    <w:multiLevelType w:val="singleLevel"/>
    <w:tmpl w:val="666574DB"/>
    <w:lvl w:ilvl="0" w:tentative="0">
      <w:start w:val="2"/>
      <w:numFmt w:val="chineseCountingThousand"/>
      <w:suff w:val="nothing"/>
      <w:lvlText w:val="（%1）"/>
      <w:lvlJc w:val="left"/>
      <w:pPr>
        <w:ind w:left="0" w:firstLine="0"/>
      </w:pPr>
    </w:lvl>
  </w:abstractNum>
  <w:abstractNum w:abstractNumId="40">
    <w:nsid w:val="67AA3AA9"/>
    <w:multiLevelType w:val="singleLevel"/>
    <w:tmpl w:val="67AA3AA9"/>
    <w:lvl w:ilvl="0" w:tentative="0">
      <w:start w:val="2"/>
      <w:numFmt w:val="chineseCountingThousand"/>
      <w:suff w:val="nothing"/>
      <w:lvlText w:val="（%1）"/>
      <w:lvlJc w:val="left"/>
      <w:pPr>
        <w:ind w:left="0" w:firstLine="0"/>
      </w:pPr>
    </w:lvl>
  </w:abstractNum>
  <w:abstractNum w:abstractNumId="41">
    <w:nsid w:val="73F26430"/>
    <w:multiLevelType w:val="singleLevel"/>
    <w:tmpl w:val="73F26430"/>
    <w:lvl w:ilvl="0" w:tentative="0">
      <w:start w:val="1"/>
      <w:numFmt w:val="decimal"/>
      <w:suff w:val="nothing"/>
      <w:lvlText w:val="%1．"/>
      <w:lvlJc w:val="left"/>
      <w:pPr>
        <w:ind w:left="0" w:firstLine="0"/>
      </w:pPr>
    </w:lvl>
  </w:abstractNum>
  <w:abstractNum w:abstractNumId="42">
    <w:nsid w:val="7D0EA74F"/>
    <w:multiLevelType w:val="multilevel"/>
    <w:tmpl w:val="7D0EA74F"/>
    <w:lvl w:ilvl="0" w:tentative="0">
      <w:start w:val="3"/>
      <w:numFmt w:val="decimal"/>
      <w:lvlText w:val="%1."/>
      <w:lvlJc w:val="left"/>
      <w:pPr>
        <w:ind w:left="425" w:hanging="425"/>
      </w:pPr>
      <w:rPr>
        <w:rFonts w:hint="default" w:ascii="仿宋" w:hAnsi="仿宋" w:eastAsia="仿宋" w:cs="仿宋"/>
        <w:sz w:val="28"/>
        <w:szCs w:val="28"/>
      </w:rPr>
    </w:lvl>
    <w:lvl w:ilvl="1" w:tentative="0">
      <w:start w:val="1"/>
      <w:numFmt w:val="decimal"/>
      <w:pStyle w:val="3"/>
      <w:lvlText w:val="%1.%2."/>
      <w:lvlJc w:val="left"/>
      <w:pPr>
        <w:ind w:left="567" w:hanging="567"/>
      </w:pPr>
      <w:rPr>
        <w:rFonts w:hint="default" w:ascii="仿宋" w:hAnsi="仿宋" w:eastAsia="仿宋" w:cs="仿宋"/>
        <w:b/>
        <w:bCs/>
        <w:sz w:val="28"/>
        <w:szCs w:val="28"/>
      </w:rPr>
    </w:lvl>
    <w:lvl w:ilvl="2" w:tentative="0">
      <w:start w:val="1"/>
      <w:numFmt w:val="decimal"/>
      <w:lvlText w:val="%1.%2.%3."/>
      <w:lvlJc w:val="left"/>
      <w:pPr>
        <w:ind w:left="709" w:hanging="709"/>
      </w:pPr>
      <w:rPr>
        <w:rFonts w:hint="default"/>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num w:numId="1">
    <w:abstractNumId w:val="42"/>
  </w:num>
  <w:num w:numId="2">
    <w:abstractNumId w:val="10"/>
  </w:num>
  <w:num w:numId="3">
    <w:abstractNumId w:val="28"/>
  </w:num>
  <w:num w:numId="4">
    <w:abstractNumId w:val="11"/>
  </w:num>
  <w:num w:numId="5">
    <w:abstractNumId w:val="4"/>
  </w:num>
  <w:num w:numId="6">
    <w:abstractNumId w:val="5"/>
  </w:num>
  <w:num w:numId="7">
    <w:abstractNumId w:val="18"/>
  </w:num>
  <w:num w:numId="8">
    <w:abstractNumId w:val="1"/>
  </w:num>
  <w:num w:numId="9">
    <w:abstractNumId w:val="39"/>
  </w:num>
  <w:num w:numId="10">
    <w:abstractNumId w:val="38"/>
  </w:num>
  <w:num w:numId="11">
    <w:abstractNumId w:val="2"/>
  </w:num>
  <w:num w:numId="12">
    <w:abstractNumId w:val="7"/>
  </w:num>
  <w:num w:numId="13">
    <w:abstractNumId w:val="26"/>
  </w:num>
  <w:num w:numId="14">
    <w:abstractNumId w:val="23"/>
  </w:num>
  <w:num w:numId="15">
    <w:abstractNumId w:val="33"/>
  </w:num>
  <w:num w:numId="16">
    <w:abstractNumId w:val="3"/>
  </w:num>
  <w:num w:numId="17">
    <w:abstractNumId w:val="0"/>
  </w:num>
  <w:num w:numId="18">
    <w:abstractNumId w:val="27"/>
  </w:num>
  <w:num w:numId="19">
    <w:abstractNumId w:val="15"/>
  </w:num>
  <w:num w:numId="20">
    <w:abstractNumId w:val="12"/>
  </w:num>
  <w:num w:numId="21">
    <w:abstractNumId w:val="19"/>
  </w:num>
  <w:num w:numId="22">
    <w:abstractNumId w:val="29"/>
  </w:num>
  <w:num w:numId="23">
    <w:abstractNumId w:val="31"/>
  </w:num>
  <w:num w:numId="24">
    <w:abstractNumId w:val="24"/>
  </w:num>
  <w:num w:numId="25">
    <w:abstractNumId w:val="34"/>
  </w:num>
  <w:num w:numId="26">
    <w:abstractNumId w:val="37"/>
  </w:num>
  <w:num w:numId="27">
    <w:abstractNumId w:val="9"/>
  </w:num>
  <w:num w:numId="28">
    <w:abstractNumId w:val="36"/>
  </w:num>
  <w:num w:numId="29">
    <w:abstractNumId w:val="30"/>
  </w:num>
  <w:num w:numId="30">
    <w:abstractNumId w:val="22"/>
  </w:num>
  <w:num w:numId="31">
    <w:abstractNumId w:val="20"/>
  </w:num>
  <w:num w:numId="32">
    <w:abstractNumId w:val="14"/>
  </w:num>
  <w:num w:numId="33">
    <w:abstractNumId w:val="6"/>
  </w:num>
  <w:num w:numId="34">
    <w:abstractNumId w:val="25"/>
  </w:num>
  <w:num w:numId="35">
    <w:abstractNumId w:val="41"/>
  </w:num>
  <w:num w:numId="36">
    <w:abstractNumId w:val="21"/>
  </w:num>
  <w:num w:numId="37">
    <w:abstractNumId w:val="17"/>
  </w:num>
  <w:num w:numId="38">
    <w:abstractNumId w:val="8"/>
  </w:num>
  <w:num w:numId="39">
    <w:abstractNumId w:val="40"/>
  </w:num>
  <w:num w:numId="40">
    <w:abstractNumId w:val="35"/>
  </w:num>
  <w:num w:numId="41">
    <w:abstractNumId w:val="16"/>
  </w:num>
  <w:num w:numId="42">
    <w:abstractNumId w:val="32"/>
  </w:num>
  <w:num w:numId="43">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isplayHorizontalDrawingGridEvery w:val="1"/>
  <w:displayVerticalDrawingGridEvery w:val="1"/>
  <w:noPunctuationKerning w:val="1"/>
  <w:characterSpacingControl w:val="doNotCompress"/>
  <w:compat>
    <w:doNotExpandShiftReturn/>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GIzOGJiMWRlYTViYjAxNmZjNzgzZDEwN2ExNTE1NjYifQ=="/>
  </w:docVars>
  <w:rsids>
    <w:rsidRoot w:val="005C6919"/>
    <w:rsid w:val="000C0633"/>
    <w:rsid w:val="0010074D"/>
    <w:rsid w:val="0011148F"/>
    <w:rsid w:val="001641AE"/>
    <w:rsid w:val="00193441"/>
    <w:rsid w:val="00197E54"/>
    <w:rsid w:val="001A54C0"/>
    <w:rsid w:val="002844B6"/>
    <w:rsid w:val="00296A5B"/>
    <w:rsid w:val="002D594D"/>
    <w:rsid w:val="00324998"/>
    <w:rsid w:val="00346230"/>
    <w:rsid w:val="003714E0"/>
    <w:rsid w:val="0038111A"/>
    <w:rsid w:val="003C7646"/>
    <w:rsid w:val="00415AB7"/>
    <w:rsid w:val="00432780"/>
    <w:rsid w:val="00441A80"/>
    <w:rsid w:val="0049779B"/>
    <w:rsid w:val="004C2229"/>
    <w:rsid w:val="005251FD"/>
    <w:rsid w:val="005307B8"/>
    <w:rsid w:val="00544A50"/>
    <w:rsid w:val="00563ADD"/>
    <w:rsid w:val="005826B8"/>
    <w:rsid w:val="005C6919"/>
    <w:rsid w:val="006F0BE7"/>
    <w:rsid w:val="00752229"/>
    <w:rsid w:val="00793DB2"/>
    <w:rsid w:val="00796D6E"/>
    <w:rsid w:val="007A5618"/>
    <w:rsid w:val="007D4393"/>
    <w:rsid w:val="007F0BA9"/>
    <w:rsid w:val="00833DDD"/>
    <w:rsid w:val="008B41BF"/>
    <w:rsid w:val="009B6F8C"/>
    <w:rsid w:val="00A42ADD"/>
    <w:rsid w:val="00AF28D6"/>
    <w:rsid w:val="00B076B3"/>
    <w:rsid w:val="00B24BEF"/>
    <w:rsid w:val="00B3356D"/>
    <w:rsid w:val="00B643D7"/>
    <w:rsid w:val="00BF4068"/>
    <w:rsid w:val="00BF44E1"/>
    <w:rsid w:val="00C7368C"/>
    <w:rsid w:val="00C842C6"/>
    <w:rsid w:val="00CD4808"/>
    <w:rsid w:val="00CE09D1"/>
    <w:rsid w:val="00D24501"/>
    <w:rsid w:val="00D33F32"/>
    <w:rsid w:val="00D51D47"/>
    <w:rsid w:val="00D53A37"/>
    <w:rsid w:val="00D72F10"/>
    <w:rsid w:val="00D96561"/>
    <w:rsid w:val="00DC1596"/>
    <w:rsid w:val="00E05C58"/>
    <w:rsid w:val="00E255C4"/>
    <w:rsid w:val="00E547FA"/>
    <w:rsid w:val="00E86BF8"/>
    <w:rsid w:val="00EA7523"/>
    <w:rsid w:val="00EE7E94"/>
    <w:rsid w:val="00EF6040"/>
    <w:rsid w:val="00F55316"/>
    <w:rsid w:val="00F94EF5"/>
    <w:rsid w:val="00FC7AAF"/>
    <w:rsid w:val="00FD17EE"/>
    <w:rsid w:val="01C51B35"/>
    <w:rsid w:val="01CA1BFC"/>
    <w:rsid w:val="02FF01D3"/>
    <w:rsid w:val="075C28A3"/>
    <w:rsid w:val="07E31A7D"/>
    <w:rsid w:val="096848C9"/>
    <w:rsid w:val="0AD76C3A"/>
    <w:rsid w:val="0B0417E9"/>
    <w:rsid w:val="0B635D6A"/>
    <w:rsid w:val="0BDB7BD7"/>
    <w:rsid w:val="0CF93AD9"/>
    <w:rsid w:val="1013067D"/>
    <w:rsid w:val="106F4084"/>
    <w:rsid w:val="10BC4E31"/>
    <w:rsid w:val="11005262"/>
    <w:rsid w:val="113301C6"/>
    <w:rsid w:val="16077093"/>
    <w:rsid w:val="16F64793"/>
    <w:rsid w:val="17734B56"/>
    <w:rsid w:val="19B5508A"/>
    <w:rsid w:val="19CE2BE7"/>
    <w:rsid w:val="1A1856A4"/>
    <w:rsid w:val="1AB2262C"/>
    <w:rsid w:val="1AF26A51"/>
    <w:rsid w:val="1F053CF4"/>
    <w:rsid w:val="1F482401"/>
    <w:rsid w:val="204001F8"/>
    <w:rsid w:val="20855784"/>
    <w:rsid w:val="20C82EB4"/>
    <w:rsid w:val="21A32365"/>
    <w:rsid w:val="22A316A1"/>
    <w:rsid w:val="230A7CE5"/>
    <w:rsid w:val="231D2870"/>
    <w:rsid w:val="29B04EF7"/>
    <w:rsid w:val="29C060EC"/>
    <w:rsid w:val="2A6D658A"/>
    <w:rsid w:val="2B067465"/>
    <w:rsid w:val="2D4A7F2E"/>
    <w:rsid w:val="2FAA3464"/>
    <w:rsid w:val="30DF4595"/>
    <w:rsid w:val="323629ED"/>
    <w:rsid w:val="32A91296"/>
    <w:rsid w:val="3382337C"/>
    <w:rsid w:val="35F56DE3"/>
    <w:rsid w:val="36405F1E"/>
    <w:rsid w:val="36DD53C9"/>
    <w:rsid w:val="37517ABA"/>
    <w:rsid w:val="39C32F2A"/>
    <w:rsid w:val="3A175DAF"/>
    <w:rsid w:val="3BC44F5A"/>
    <w:rsid w:val="3CE66579"/>
    <w:rsid w:val="3CF57DCF"/>
    <w:rsid w:val="3D4174BB"/>
    <w:rsid w:val="3D5E1473"/>
    <w:rsid w:val="408C3F57"/>
    <w:rsid w:val="41A5246A"/>
    <w:rsid w:val="435C3048"/>
    <w:rsid w:val="439E0700"/>
    <w:rsid w:val="443B7222"/>
    <w:rsid w:val="44751B8A"/>
    <w:rsid w:val="44A37A87"/>
    <w:rsid w:val="44DB55E4"/>
    <w:rsid w:val="46F02871"/>
    <w:rsid w:val="47A35504"/>
    <w:rsid w:val="4A514198"/>
    <w:rsid w:val="4B005CA0"/>
    <w:rsid w:val="4B1B446B"/>
    <w:rsid w:val="4C4B029F"/>
    <w:rsid w:val="4D855147"/>
    <w:rsid w:val="4FC6346A"/>
    <w:rsid w:val="4FF24139"/>
    <w:rsid w:val="502D78A2"/>
    <w:rsid w:val="50564F47"/>
    <w:rsid w:val="50A74D81"/>
    <w:rsid w:val="50E33C7D"/>
    <w:rsid w:val="51575BFE"/>
    <w:rsid w:val="544F1CF8"/>
    <w:rsid w:val="55D47471"/>
    <w:rsid w:val="56E1249B"/>
    <w:rsid w:val="58140590"/>
    <w:rsid w:val="58807D05"/>
    <w:rsid w:val="58877483"/>
    <w:rsid w:val="589E6E07"/>
    <w:rsid w:val="59EE4897"/>
    <w:rsid w:val="5CA036F5"/>
    <w:rsid w:val="5CB31060"/>
    <w:rsid w:val="5DBB6709"/>
    <w:rsid w:val="5F2B1033"/>
    <w:rsid w:val="60456E4B"/>
    <w:rsid w:val="62F32A43"/>
    <w:rsid w:val="63574E4D"/>
    <w:rsid w:val="6388789D"/>
    <w:rsid w:val="639C2AFB"/>
    <w:rsid w:val="642F3009"/>
    <w:rsid w:val="64516EFA"/>
    <w:rsid w:val="661F585F"/>
    <w:rsid w:val="666E5165"/>
    <w:rsid w:val="699D3E4D"/>
    <w:rsid w:val="6A025978"/>
    <w:rsid w:val="6A063997"/>
    <w:rsid w:val="6AA30D83"/>
    <w:rsid w:val="6B3B6140"/>
    <w:rsid w:val="6B84761F"/>
    <w:rsid w:val="6C767545"/>
    <w:rsid w:val="6CCA070A"/>
    <w:rsid w:val="6DB8406F"/>
    <w:rsid w:val="6E8201DA"/>
    <w:rsid w:val="6FAF269F"/>
    <w:rsid w:val="70087745"/>
    <w:rsid w:val="70CE50A2"/>
    <w:rsid w:val="728B79E3"/>
    <w:rsid w:val="73861D97"/>
    <w:rsid w:val="73950D2D"/>
    <w:rsid w:val="73B91FD3"/>
    <w:rsid w:val="73F12089"/>
    <w:rsid w:val="743D7380"/>
    <w:rsid w:val="7501680A"/>
    <w:rsid w:val="793E0649"/>
    <w:rsid w:val="79FE55F7"/>
    <w:rsid w:val="7A0837FC"/>
    <w:rsid w:val="7BD32782"/>
    <w:rsid w:val="7BD95769"/>
    <w:rsid w:val="7C7A0DB1"/>
    <w:rsid w:val="7CCC201F"/>
    <w:rsid w:val="7ED54DD4"/>
    <w:rsid w:val="7EDE6CA6"/>
    <w:rsid w:val="7F7013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0" w:semiHidden="0"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宋体" w:hAnsi="宋体" w:eastAsia="宋体" w:cs="Times New Roman"/>
      <w:kern w:val="2"/>
      <w:sz w:val="21"/>
      <w:szCs w:val="24"/>
      <w:lang w:val="en-US" w:eastAsia="zh-CN" w:bidi="ar-SA"/>
    </w:rPr>
  </w:style>
  <w:style w:type="paragraph" w:styleId="2">
    <w:name w:val="heading 1"/>
    <w:basedOn w:val="1"/>
    <w:next w:val="1"/>
    <w:link w:val="15"/>
    <w:autoRedefine/>
    <w:qFormat/>
    <w:uiPriority w:val="0"/>
    <w:pPr>
      <w:keepNext/>
      <w:keepLines/>
      <w:spacing w:line="360" w:lineRule="auto"/>
      <w:jc w:val="center"/>
      <w:outlineLvl w:val="0"/>
    </w:pPr>
    <w:rPr>
      <w:b/>
      <w:bCs/>
      <w:kern w:val="44"/>
      <w:sz w:val="44"/>
      <w:szCs w:val="44"/>
      <w:lang w:val="zh-CN"/>
    </w:rPr>
  </w:style>
  <w:style w:type="paragraph" w:styleId="3">
    <w:name w:val="heading 2"/>
    <w:basedOn w:val="1"/>
    <w:next w:val="4"/>
    <w:autoRedefine/>
    <w:qFormat/>
    <w:uiPriority w:val="0"/>
    <w:pPr>
      <w:numPr>
        <w:ilvl w:val="1"/>
        <w:numId w:val="1"/>
      </w:numPr>
      <w:tabs>
        <w:tab w:val="left" w:pos="840"/>
      </w:tabs>
      <w:spacing w:before="240" w:after="240" w:line="480" w:lineRule="auto"/>
      <w:jc w:val="left"/>
      <w:outlineLvl w:val="1"/>
    </w:pPr>
    <w:rPr>
      <w:rFonts w:ascii="仿宋" w:hAnsi="仿宋" w:cs="Calibri"/>
      <w:b/>
      <w:kern w:val="0"/>
      <w:sz w:val="28"/>
    </w:rPr>
  </w:style>
  <w:style w:type="character" w:default="1" w:styleId="14">
    <w:name w:val="Default Paragraph Font"/>
    <w:semiHidden/>
    <w:unhideWhenUsed/>
    <w:qFormat/>
    <w:uiPriority w:val="1"/>
  </w:style>
  <w:style w:type="table" w:default="1" w:styleId="12">
    <w:name w:val="Normal Table"/>
    <w:autoRedefine/>
    <w:semiHidden/>
    <w:unhideWhenUsed/>
    <w:qFormat/>
    <w:uiPriority w:val="99"/>
    <w:tblPr>
      <w:tblCellMar>
        <w:top w:w="0" w:type="dxa"/>
        <w:left w:w="108" w:type="dxa"/>
        <w:bottom w:w="0" w:type="dxa"/>
        <w:right w:w="108" w:type="dxa"/>
      </w:tblCellMar>
    </w:tblPr>
  </w:style>
  <w:style w:type="paragraph" w:customStyle="1" w:styleId="4">
    <w:name w:val="1宋体正文"/>
    <w:basedOn w:val="1"/>
    <w:qFormat/>
    <w:uiPriority w:val="0"/>
    <w:rPr>
      <w:szCs w:val="28"/>
    </w:rPr>
  </w:style>
  <w:style w:type="paragraph" w:styleId="5">
    <w:name w:val="annotation text"/>
    <w:basedOn w:val="1"/>
    <w:link w:val="18"/>
    <w:autoRedefine/>
    <w:unhideWhenUsed/>
    <w:qFormat/>
    <w:uiPriority w:val="99"/>
    <w:pPr>
      <w:jc w:val="left"/>
    </w:pPr>
  </w:style>
  <w:style w:type="paragraph" w:styleId="6">
    <w:name w:val="Body Text"/>
    <w:basedOn w:val="1"/>
    <w:next w:val="1"/>
    <w:unhideWhenUsed/>
    <w:qFormat/>
    <w:uiPriority w:val="0"/>
    <w:pPr>
      <w:spacing w:after="120"/>
    </w:pPr>
  </w:style>
  <w:style w:type="paragraph" w:styleId="7">
    <w:name w:val="Body Text Indent"/>
    <w:basedOn w:val="1"/>
    <w:link w:val="16"/>
    <w:autoRedefine/>
    <w:semiHidden/>
    <w:unhideWhenUsed/>
    <w:qFormat/>
    <w:uiPriority w:val="99"/>
    <w:pPr>
      <w:spacing w:after="120"/>
      <w:ind w:left="420" w:leftChars="200"/>
    </w:pPr>
  </w:style>
  <w:style w:type="paragraph" w:styleId="8">
    <w:name w:val="footer"/>
    <w:basedOn w:val="1"/>
    <w:link w:val="23"/>
    <w:unhideWhenUsed/>
    <w:qFormat/>
    <w:uiPriority w:val="99"/>
    <w:pPr>
      <w:tabs>
        <w:tab w:val="center" w:pos="4153"/>
        <w:tab w:val="right" w:pos="8306"/>
      </w:tabs>
      <w:snapToGrid w:val="0"/>
      <w:jc w:val="left"/>
    </w:pPr>
    <w:rPr>
      <w:sz w:val="18"/>
      <w:szCs w:val="18"/>
    </w:rPr>
  </w:style>
  <w:style w:type="paragraph" w:styleId="9">
    <w:name w:val="header"/>
    <w:basedOn w:val="1"/>
    <w:link w:val="22"/>
    <w:autoRedefine/>
    <w:unhideWhenUsed/>
    <w:qFormat/>
    <w:uiPriority w:val="99"/>
    <w:pPr>
      <w:tabs>
        <w:tab w:val="center" w:pos="4153"/>
        <w:tab w:val="right" w:pos="8306"/>
      </w:tabs>
      <w:snapToGrid w:val="0"/>
      <w:jc w:val="center"/>
    </w:pPr>
    <w:rPr>
      <w:sz w:val="18"/>
      <w:szCs w:val="18"/>
    </w:rPr>
  </w:style>
  <w:style w:type="paragraph" w:styleId="10">
    <w:name w:val="toc 1"/>
    <w:basedOn w:val="1"/>
    <w:next w:val="1"/>
    <w:qFormat/>
    <w:uiPriority w:val="0"/>
    <w:pPr>
      <w:spacing w:before="120" w:after="120"/>
      <w:jc w:val="left"/>
    </w:pPr>
    <w:rPr>
      <w:rFonts w:ascii="Calibri" w:hAnsi="Calibri"/>
      <w:b/>
      <w:bCs/>
      <w:caps/>
      <w:sz w:val="20"/>
    </w:rPr>
  </w:style>
  <w:style w:type="paragraph" w:styleId="11">
    <w:name w:val="Body Text First Indent 2"/>
    <w:basedOn w:val="7"/>
    <w:link w:val="17"/>
    <w:autoRedefine/>
    <w:unhideWhenUsed/>
    <w:qFormat/>
    <w:uiPriority w:val="0"/>
    <w:pPr>
      <w:ind w:firstLine="420" w:firstLineChars="200"/>
    </w:pPr>
  </w:style>
  <w:style w:type="table" w:styleId="13">
    <w:name w:val="Table Grid"/>
    <w:basedOn w:val="12"/>
    <w:autoRedefine/>
    <w:qFormat/>
    <w:uiPriority w:val="99"/>
    <w:pPr>
      <w:widowControl w:val="0"/>
      <w:jc w:val="both"/>
    </w:pPr>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5">
    <w:name w:val="标题 1 字符"/>
    <w:basedOn w:val="14"/>
    <w:link w:val="2"/>
    <w:autoRedefine/>
    <w:qFormat/>
    <w:uiPriority w:val="0"/>
    <w:rPr>
      <w:rFonts w:ascii="宋体" w:hAnsi="宋体" w:eastAsia="宋体" w:cs="Times New Roman"/>
      <w:b/>
      <w:bCs/>
      <w:kern w:val="44"/>
      <w:sz w:val="44"/>
      <w:szCs w:val="44"/>
      <w:lang w:val="zh-CN"/>
    </w:rPr>
  </w:style>
  <w:style w:type="character" w:customStyle="1" w:styleId="16">
    <w:name w:val="正文文本缩进 字符"/>
    <w:basedOn w:val="14"/>
    <w:link w:val="7"/>
    <w:autoRedefine/>
    <w:semiHidden/>
    <w:qFormat/>
    <w:uiPriority w:val="99"/>
    <w:rPr>
      <w:rFonts w:ascii="宋体" w:hAnsi="宋体" w:eastAsia="宋体" w:cs="Times New Roman"/>
      <w:szCs w:val="24"/>
    </w:rPr>
  </w:style>
  <w:style w:type="character" w:customStyle="1" w:styleId="17">
    <w:name w:val="正文文本首行缩进 2 字符"/>
    <w:basedOn w:val="16"/>
    <w:link w:val="11"/>
    <w:autoRedefine/>
    <w:qFormat/>
    <w:uiPriority w:val="0"/>
    <w:rPr>
      <w:rFonts w:ascii="宋体" w:hAnsi="宋体" w:eastAsia="宋体" w:cs="Times New Roman"/>
      <w:szCs w:val="24"/>
    </w:rPr>
  </w:style>
  <w:style w:type="character" w:customStyle="1" w:styleId="18">
    <w:name w:val="批注文字 字符"/>
    <w:basedOn w:val="14"/>
    <w:link w:val="5"/>
    <w:autoRedefine/>
    <w:qFormat/>
    <w:uiPriority w:val="99"/>
    <w:rPr>
      <w:rFonts w:ascii="宋体" w:hAnsi="宋体" w:eastAsia="宋体" w:cs="Times New Roman"/>
      <w:szCs w:val="24"/>
    </w:rPr>
  </w:style>
  <w:style w:type="paragraph" w:customStyle="1" w:styleId="19">
    <w:name w:val="Normal_1_1"/>
    <w:autoRedefine/>
    <w:qFormat/>
    <w:uiPriority w:val="0"/>
    <w:pPr>
      <w:widowControl w:val="0"/>
      <w:jc w:val="both"/>
    </w:pPr>
    <w:rPr>
      <w:rFonts w:ascii="等线" w:hAnsi="等线" w:eastAsia="等线" w:cs="Times New Roman"/>
      <w:kern w:val="2"/>
      <w:sz w:val="21"/>
      <w:szCs w:val="22"/>
      <w:lang w:val="en-US" w:eastAsia="zh-CN" w:bidi="ar-SA"/>
    </w:rPr>
  </w:style>
  <w:style w:type="paragraph" w:customStyle="1" w:styleId="20">
    <w:name w:val="列表段落1"/>
    <w:basedOn w:val="1"/>
    <w:autoRedefine/>
    <w:qFormat/>
    <w:uiPriority w:val="34"/>
    <w:pPr>
      <w:ind w:firstLine="420" w:firstLineChars="200"/>
    </w:pPr>
  </w:style>
  <w:style w:type="paragraph" w:customStyle="1" w:styleId="21">
    <w:name w:val="修订1"/>
    <w:autoRedefine/>
    <w:hidden/>
    <w:unhideWhenUsed/>
    <w:qFormat/>
    <w:uiPriority w:val="99"/>
    <w:rPr>
      <w:rFonts w:ascii="宋体" w:hAnsi="宋体" w:eastAsia="宋体" w:cs="Times New Roman"/>
      <w:kern w:val="2"/>
      <w:sz w:val="21"/>
      <w:szCs w:val="24"/>
      <w:lang w:val="en-US" w:eastAsia="zh-CN" w:bidi="ar-SA"/>
    </w:rPr>
  </w:style>
  <w:style w:type="character" w:customStyle="1" w:styleId="22">
    <w:name w:val="页眉 字符"/>
    <w:basedOn w:val="14"/>
    <w:link w:val="9"/>
    <w:autoRedefine/>
    <w:qFormat/>
    <w:uiPriority w:val="99"/>
    <w:rPr>
      <w:rFonts w:ascii="宋体" w:hAnsi="宋体" w:eastAsia="宋体" w:cs="Times New Roman"/>
      <w:kern w:val="2"/>
      <w:sz w:val="18"/>
      <w:szCs w:val="18"/>
    </w:rPr>
  </w:style>
  <w:style w:type="character" w:customStyle="1" w:styleId="23">
    <w:name w:val="页脚 字符"/>
    <w:basedOn w:val="14"/>
    <w:link w:val="8"/>
    <w:autoRedefine/>
    <w:qFormat/>
    <w:uiPriority w:val="99"/>
    <w:rPr>
      <w:rFonts w:ascii="宋体" w:hAnsi="宋体" w:eastAsia="宋体" w:cs="Times New Roman"/>
      <w:kern w:val="2"/>
      <w:sz w:val="18"/>
      <w:szCs w:val="18"/>
    </w:rPr>
  </w:style>
  <w:style w:type="table" w:customStyle="1" w:styleId="24">
    <w:name w:val="网格型1"/>
    <w:basedOn w:val="12"/>
    <w:autoRedefine/>
    <w:qFormat/>
    <w:uiPriority w:val="39"/>
    <w:rPr>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5">
    <w:name w:val="网格型2"/>
    <w:basedOn w:val="12"/>
    <w:autoRedefine/>
    <w:qFormat/>
    <w:uiPriority w:val="39"/>
    <w:rPr>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6">
    <w:name w:val="网格型3"/>
    <w:basedOn w:val="12"/>
    <w:qFormat/>
    <w:uiPriority w:val="39"/>
    <w:rPr>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7">
    <w:name w:val="网格型4"/>
    <w:basedOn w:val="12"/>
    <w:autoRedefine/>
    <w:qFormat/>
    <w:uiPriority w:val="39"/>
    <w:rPr>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8">
    <w:name w:val="网格型5"/>
    <w:basedOn w:val="12"/>
    <w:autoRedefine/>
    <w:qFormat/>
    <w:uiPriority w:val="39"/>
    <w:rPr>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9">
    <w:name w:val="网格型6"/>
    <w:basedOn w:val="12"/>
    <w:autoRedefine/>
    <w:qFormat/>
    <w:uiPriority w:val="39"/>
    <w:rPr>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0">
    <w:name w:val="网格型7"/>
    <w:basedOn w:val="12"/>
    <w:autoRedefine/>
    <w:qFormat/>
    <w:uiPriority w:val="39"/>
    <w:rPr>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31">
    <w:name w:val="修订2"/>
    <w:autoRedefine/>
    <w:hidden/>
    <w:unhideWhenUsed/>
    <w:qFormat/>
    <w:uiPriority w:val="99"/>
    <w:rPr>
      <w:rFonts w:ascii="宋体" w:hAnsi="宋体" w:eastAsia="宋体" w:cs="Times New Roman"/>
      <w:kern w:val="2"/>
      <w:sz w:val="21"/>
      <w:szCs w:val="24"/>
      <w:lang w:val="en-US" w:eastAsia="zh-CN" w:bidi="ar-SA"/>
    </w:rPr>
  </w:style>
  <w:style w:type="character" w:customStyle="1" w:styleId="32">
    <w:name w:val="font21"/>
    <w:basedOn w:val="14"/>
    <w:autoRedefine/>
    <w:qFormat/>
    <w:uiPriority w:val="0"/>
    <w:rPr>
      <w:rFonts w:hint="eastAsia" w:ascii="宋体" w:hAnsi="宋体" w:eastAsia="宋体" w:cs="宋体"/>
      <w:color w:val="000000"/>
      <w:sz w:val="20"/>
      <w:szCs w:val="20"/>
      <w:u w:val="none"/>
    </w:rPr>
  </w:style>
  <w:style w:type="character" w:customStyle="1" w:styleId="33">
    <w:name w:val="font41"/>
    <w:basedOn w:val="14"/>
    <w:autoRedefine/>
    <w:qFormat/>
    <w:uiPriority w:val="0"/>
    <w:rPr>
      <w:rFonts w:hint="eastAsia" w:ascii="宋体" w:hAnsi="宋体" w:eastAsia="宋体" w:cs="宋体"/>
      <w:color w:val="FF0000"/>
      <w:sz w:val="20"/>
      <w:szCs w:val="20"/>
      <w:u w:val="none"/>
    </w:rPr>
  </w:style>
  <w:style w:type="character" w:customStyle="1" w:styleId="34">
    <w:name w:val="font11"/>
    <w:basedOn w:val="14"/>
    <w:autoRedefine/>
    <w:qFormat/>
    <w:uiPriority w:val="0"/>
    <w:rPr>
      <w:rFonts w:hint="eastAsia" w:ascii="宋体" w:hAnsi="宋体" w:eastAsia="宋体" w:cs="宋体"/>
      <w:color w:val="000000"/>
      <w:sz w:val="20"/>
      <w:szCs w:val="20"/>
      <w:u w:val="none"/>
    </w:rPr>
  </w:style>
  <w:style w:type="character" w:customStyle="1" w:styleId="35">
    <w:name w:val="font31"/>
    <w:basedOn w:val="14"/>
    <w:autoRedefine/>
    <w:qFormat/>
    <w:uiPriority w:val="0"/>
    <w:rPr>
      <w:rFonts w:hint="default" w:ascii="Times New Roman" w:hAnsi="Times New Roman" w:cs="Times New Roman"/>
      <w:color w:val="FF0000"/>
      <w:sz w:val="20"/>
      <w:szCs w:val="20"/>
      <w:u w:val="none"/>
    </w:rPr>
  </w:style>
  <w:style w:type="paragraph" w:customStyle="1" w:styleId="36">
    <w:name w:val="图表文字"/>
    <w:autoRedefine/>
    <w:qFormat/>
    <w:uiPriority w:val="0"/>
    <w:pPr>
      <w:jc w:val="center"/>
    </w:pPr>
    <w:rPr>
      <w:rFonts w:ascii="Times New Roman" w:hAnsi="Times New Roman" w:eastAsia="宋体" w:cs="Times New Roman"/>
      <w:sz w:val="21"/>
      <w:lang w:val="en-US" w:eastAsia="zh-CN" w:bidi="ar-SA"/>
    </w:rPr>
  </w:style>
  <w:style w:type="paragraph" w:customStyle="1" w:styleId="37">
    <w:name w:val="样式5"/>
    <w:basedOn w:val="1"/>
    <w:autoRedefine/>
    <w:qFormat/>
    <w:uiPriority w:val="0"/>
    <w:pPr>
      <w:spacing w:line="360" w:lineRule="auto"/>
      <w:ind w:firstLine="880" w:firstLineChars="200"/>
    </w:pPr>
  </w:style>
  <w:style w:type="paragraph" w:styleId="38">
    <w:name w:val="List Paragraph"/>
    <w:basedOn w:val="1"/>
    <w:autoRedefine/>
    <w:qFormat/>
    <w:uiPriority w:val="34"/>
    <w:pPr>
      <w:ind w:left="720"/>
      <w:contextualSpacing/>
    </w:pPr>
  </w:style>
  <w:style w:type="paragraph" w:customStyle="1" w:styleId="39">
    <w:name w:val="BodyText1I2"/>
    <w:basedOn w:val="40"/>
    <w:autoRedefine/>
    <w:qFormat/>
    <w:uiPriority w:val="0"/>
    <w:rPr>
      <w:sz w:val="24"/>
      <w:szCs w:val="22"/>
    </w:rPr>
  </w:style>
  <w:style w:type="paragraph" w:customStyle="1" w:styleId="40">
    <w:name w:val="BodyTextIndent"/>
    <w:next w:val="1"/>
    <w:autoRedefine/>
    <w:qFormat/>
    <w:uiPriority w:val="0"/>
    <w:pPr>
      <w:widowControl w:val="0"/>
      <w:spacing w:after="120" w:line="360" w:lineRule="auto"/>
      <w:ind w:left="420" w:leftChars="200" w:firstLine="420" w:firstLineChars="200"/>
      <w:jc w:val="both"/>
    </w:pPr>
    <w:rPr>
      <w:rFonts w:ascii="Calibri" w:hAnsi="Calibri" w:eastAsia="宋体" w:cs="Times New Roman"/>
      <w:kern w:val="2"/>
      <w:sz w:val="21"/>
      <w:szCs w:val="24"/>
      <w:lang w:val="en-US" w:eastAsia="zh-CN" w:bidi="ar-SA"/>
    </w:rPr>
  </w:style>
  <w:style w:type="paragraph" w:customStyle="1" w:styleId="41">
    <w:name w:val="Revision"/>
    <w:autoRedefine/>
    <w:hidden/>
    <w:unhideWhenUsed/>
    <w:qFormat/>
    <w:uiPriority w:val="99"/>
    <w:rPr>
      <w:rFonts w:ascii="宋体" w:hAnsi="宋体"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15</Pages>
  <Words>10156</Words>
  <Characters>10791</Characters>
  <Lines>203</Lines>
  <Paragraphs>235</Paragraphs>
  <TotalTime>5</TotalTime>
  <ScaleCrop>false</ScaleCrop>
  <LinksUpToDate>false</LinksUpToDate>
  <CharactersWithSpaces>10791</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2023-09-25T12:18:00Z</dcterms:created>
  <dc:creator>方泽林</dc:creator>
  <cp:lastModifiedBy>辜嘉磊</cp:lastModifiedBy>
  <dcterms:modified xsi:type="dcterms:W3CDTF">2026-03-19T08:12:21Z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00F5C05E2DAC4427A5D2E28FC2F0DEE2_13</vt:lpwstr>
  </property>
  <property fmtid="{D5CDD505-2E9C-101B-9397-08002B2CF9AE}" pid="4" name="KSOTemplateDocerSaveRecord">
    <vt:lpwstr>eyJoZGlkIjoiMTEwOWVkNzE5ZGE4ZjU2Y2RlZmYwOGFjNjgwNWU3NjMiLCJ1c2VySWQiOiIxNjg3Nzc0Nzc4In0=</vt:lpwstr>
  </property>
</Properties>
</file>