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6D954">
      <w:pPr>
        <w:widowControl w:val="0"/>
        <w:spacing w:after="120"/>
        <w:jc w:val="both"/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-SA"/>
        </w:rPr>
      </w:pP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-SA"/>
        </w:rPr>
        <w:t>附件1.固戍二期污泥项目中控室搬迁改造服务采购项目需求清单</w:t>
      </w:r>
    </w:p>
    <w:tbl>
      <w:tblPr>
        <w:tblStyle w:val="9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180"/>
        <w:gridCol w:w="2610"/>
        <w:gridCol w:w="7215"/>
        <w:gridCol w:w="675"/>
        <w:gridCol w:w="690"/>
        <w:gridCol w:w="1348"/>
      </w:tblGrid>
      <w:tr w14:paraId="7C946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8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固戍二期污泥项目中控室搬迁改造服务采购项目需求清单</w:t>
            </w:r>
          </w:p>
        </w:tc>
      </w:tr>
      <w:tr w14:paraId="4376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8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26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0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9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具体规格型号、验收标准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E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3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8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DFE6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5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7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隔墙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A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轻钢龙骨骨架，内嵌岩棉，双面阻燃胶合板+耐火石膏板，腻子粉填缝，面积约81m²，含主梁加固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2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轻钢龙骨安装牢固、横平竖直，无松动变形；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岩棉填充饱满，双面阻燃胶合板 + 耐火石膏板安装平整，接缝均匀；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腻子填缝密实，无开裂、透底；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主梁加固到位，整体稳定牢固，尺寸符合设计，面积约81㎡。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C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31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B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B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6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5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墙面批灰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F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腻子粉一底一面，批灰。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9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腻子一底一面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改造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到位，批灰表面平整、无漏刮、无明显刮痕；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阴阳角顺直，无空鼓、开裂、脱层；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整体观感均匀，无明显色差，面积约 162㎡。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F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E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B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8F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7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8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防火门及安装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42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高2400*宽1500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2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规格：高2400mm×宽1500mm，符合设计尺寸；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安装垂直、平整，开启灵活、关闭严密，无翘曲变形；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五金配件齐全，安装牢固，无松动。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D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6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5C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含安装</w:t>
            </w:r>
          </w:p>
        </w:tc>
      </w:tr>
      <w:tr w14:paraId="5CE8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3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1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防火地板革及铺设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7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浅灰色；面积为6m*12m；铺设前对电缆沟盖板凸起部位进行打磨找平。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8F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浅灰色，规格 6m×12m，面积满足 72㎡；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电缆沟盖板凸起部位打磨找平到位，铺设基层平整无杂物；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地板革铺设平整、无气泡、无空鼓，接缝严密，无破损、翘边。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13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5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46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含铺设</w:t>
            </w:r>
          </w:p>
          <w:p w14:paraId="12E411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66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0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7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操作台及安装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A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长3*高0.75*宽0.9，用于放置中控电脑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3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规格：长3m×高0.75m×深0.9m，尺寸与设计一致；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安装水平牢固，无晃动、倾斜；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表面平整光滑，无明显划痕、变形，满足中控电脑放置使用要求。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AA6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0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E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单项金额不超过2千元</w:t>
            </w:r>
          </w:p>
        </w:tc>
      </w:tr>
      <w:tr w14:paraId="55C2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1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98B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照明及线路敷设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A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含安装铺设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B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灯具安装位置正确、牢固，开关控制正常；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线路敷设规范，穿管到位，接线牢固，绝缘达标，符合安全使用标准；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通电后照明正常，无频闪、漏电现象，满足现场使用需求。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0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F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6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含铺设</w:t>
            </w:r>
          </w:p>
        </w:tc>
      </w:tr>
      <w:tr w14:paraId="07329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B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7B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光纤通讯链接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6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含光纤、光纤收发器，由供应商评估确认数量及实施安装铺设服务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A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光纤及收发器型号符合要求，安装牢固；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线路敷设规范，接头连接正确，无松动；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通讯链路测试正常，传输稳定，满足中控室内电脑等通信设备、中控设备操作电脑控制系统软件通讯使用需求。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73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82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1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8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C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2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基它辅助材及其他费用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D99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2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耗材型号、规格满足改造要求，质量合格；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改造过程中辅材使用规范，无违规替代；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现场改造过程中无安全隐患，满足整体改造配合需求。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B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22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9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32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74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0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原中控室办公用品搬运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F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将原二楼中控室办公桌椅、文件柜、物资柜等搬运至新中控室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C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原二楼中控室办公桌椅、文件柜、物资柜等物品完整搬运至新中控室；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搬运过程无磕碰、损坏、丢失，物品完好率100%；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按指定位置摆放到位，无遗漏，现场清理干净。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C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3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3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11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1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667C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一、上述参数规格仅供参考，报价前需现场实地进行勘察，详细技术方案及要求以甲方实际为准。</w:t>
            </w:r>
          </w:p>
          <w:p w14:paraId="581F2140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/>
                <w:lang w:val="en-US" w:eastAsia="zh-CN"/>
              </w:rPr>
              <w:t>报价人需按采购清单进行报价，本项目采购数量仅为预计数量，且本项目不承诺保底采购量，根据项目实际需求执行。在实施过程中，若因上游单位（业主方）需求调整导致实际服务数量较合同清单数量有减少的，不予支付对应分项费用，合同结算金额据实核减（整项未实施的条目，不计入结算且不予支付；同一清单条目内仅部分未实施的，按合同清单对应单价据实扣减。）</w:t>
            </w:r>
          </w:p>
          <w:p w14:paraId="44A1EB86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报价需充分考虑完成本项目的全部相关费用：</w:t>
            </w:r>
          </w:p>
          <w:p w14:paraId="6D567621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1.含完成本事项所需的一切辅材；</w:t>
            </w:r>
          </w:p>
          <w:p w14:paraId="1D2492CE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2.搬迁改造服务过程中涉及路面破坏等，乙方需复原；</w:t>
            </w:r>
          </w:p>
          <w:p w14:paraId="352CBE74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3.搬迁改造服务中产生的一切废弃物，乙方需负责清运。</w:t>
            </w:r>
          </w:p>
        </w:tc>
      </w:tr>
    </w:tbl>
    <w:p w14:paraId="43DE1298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0B48A06C">
      <w:pPr>
        <w:widowControl w:val="0"/>
        <w:spacing w:after="120"/>
        <w:jc w:val="both"/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-SA"/>
        </w:rPr>
      </w:pP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-SA"/>
        </w:rPr>
        <w:t>附件2.报价单参考模板</w:t>
      </w:r>
    </w:p>
    <w:tbl>
      <w:tblPr>
        <w:tblStyle w:val="9"/>
        <w:tblW w:w="5168" w:type="pct"/>
        <w:tblInd w:w="-1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082"/>
        <w:gridCol w:w="2533"/>
        <w:gridCol w:w="635"/>
        <w:gridCol w:w="815"/>
        <w:gridCol w:w="954"/>
        <w:gridCol w:w="1146"/>
        <w:gridCol w:w="1038"/>
      </w:tblGrid>
      <w:tr w14:paraId="4A1A8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1E14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报价单</w:t>
            </w:r>
          </w:p>
        </w:tc>
      </w:tr>
      <w:tr w14:paraId="6642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218" w:type="pct"/>
            <w:gridSpan w:val="5"/>
            <w:shd w:val="clear" w:color="auto" w:fill="auto"/>
            <w:vAlign w:val="center"/>
          </w:tcPr>
          <w:p w14:paraId="582370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报价公司：</w:t>
            </w:r>
          </w:p>
        </w:tc>
        <w:tc>
          <w:tcPr>
            <w:tcW w:w="1781" w:type="pct"/>
            <w:gridSpan w:val="3"/>
            <w:shd w:val="clear" w:color="auto" w:fill="auto"/>
            <w:noWrap/>
            <w:vAlign w:val="center"/>
          </w:tcPr>
          <w:p w14:paraId="594CB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询价公司：深圳市深水生态环境技术有限公司</w:t>
            </w:r>
          </w:p>
        </w:tc>
      </w:tr>
      <w:tr w14:paraId="68001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18" w:type="pct"/>
            <w:gridSpan w:val="5"/>
            <w:shd w:val="clear" w:color="auto" w:fill="auto"/>
            <w:vAlign w:val="center"/>
          </w:tcPr>
          <w:p w14:paraId="43C69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报价人：</w:t>
            </w:r>
          </w:p>
        </w:tc>
        <w:tc>
          <w:tcPr>
            <w:tcW w:w="1781" w:type="pct"/>
            <w:gridSpan w:val="3"/>
            <w:shd w:val="clear" w:color="auto" w:fill="auto"/>
            <w:noWrap/>
            <w:vAlign w:val="center"/>
          </w:tcPr>
          <w:p w14:paraId="12B87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询价项目：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u w:val="single"/>
                <w:lang w:val="en-US" w:eastAsia="zh-CN"/>
              </w:rPr>
              <w:t>固戍二期污泥项目中控室搬迁改造服务采购项目</w:t>
            </w:r>
          </w:p>
        </w:tc>
      </w:tr>
      <w:tr w14:paraId="7B17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218" w:type="pct"/>
            <w:gridSpan w:val="5"/>
            <w:shd w:val="clear" w:color="auto" w:fill="auto"/>
            <w:vAlign w:val="center"/>
          </w:tcPr>
          <w:p w14:paraId="3DD6A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  机：</w:t>
            </w:r>
          </w:p>
        </w:tc>
        <w:tc>
          <w:tcPr>
            <w:tcW w:w="1781" w:type="pct"/>
            <w:gridSpan w:val="3"/>
            <w:shd w:val="clear" w:color="auto" w:fill="auto"/>
            <w:noWrap/>
            <w:vAlign w:val="center"/>
          </w:tcPr>
          <w:p w14:paraId="3C668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 价 人：杨工</w:t>
            </w:r>
          </w:p>
        </w:tc>
      </w:tr>
      <w:tr w14:paraId="216E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218" w:type="pct"/>
            <w:gridSpan w:val="5"/>
            <w:shd w:val="clear" w:color="auto" w:fill="auto"/>
            <w:vAlign w:val="center"/>
          </w:tcPr>
          <w:p w14:paraId="68007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  话：</w:t>
            </w:r>
          </w:p>
        </w:tc>
        <w:tc>
          <w:tcPr>
            <w:tcW w:w="1781" w:type="pct"/>
            <w:gridSpan w:val="3"/>
            <w:shd w:val="clear" w:color="auto" w:fill="auto"/>
            <w:noWrap/>
            <w:vAlign w:val="center"/>
          </w:tcPr>
          <w:p w14:paraId="312AE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    话：13590191632</w:t>
            </w:r>
          </w:p>
        </w:tc>
      </w:tr>
      <w:tr w14:paraId="3717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218" w:type="pct"/>
            <w:gridSpan w:val="5"/>
            <w:shd w:val="clear" w:color="auto" w:fill="auto"/>
            <w:vAlign w:val="center"/>
          </w:tcPr>
          <w:p w14:paraId="33BB2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  箱：</w:t>
            </w:r>
          </w:p>
        </w:tc>
        <w:tc>
          <w:tcPr>
            <w:tcW w:w="1781" w:type="pct"/>
            <w:gridSpan w:val="3"/>
            <w:shd w:val="clear" w:color="auto" w:fill="auto"/>
            <w:noWrap/>
            <w:vAlign w:val="center"/>
          </w:tcPr>
          <w:p w14:paraId="2DD68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    箱：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945955969@qq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.com</w:t>
            </w:r>
          </w:p>
        </w:tc>
      </w:tr>
      <w:tr w14:paraId="49E37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65ECA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期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</w:t>
            </w:r>
          </w:p>
        </w:tc>
      </w:tr>
      <w:tr w14:paraId="586FC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343" w:type="pct"/>
            <w:shd w:val="clear" w:color="000000" w:fill="FFFFFF"/>
            <w:vAlign w:val="center"/>
          </w:tcPr>
          <w:p w14:paraId="56E827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614" w:type="pct"/>
            <w:shd w:val="clear" w:color="000000" w:fill="FFFFFF"/>
            <w:vAlign w:val="center"/>
          </w:tcPr>
          <w:p w14:paraId="7B68736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工作内容</w:t>
            </w:r>
          </w:p>
        </w:tc>
        <w:tc>
          <w:tcPr>
            <w:tcW w:w="1437" w:type="pct"/>
            <w:shd w:val="clear" w:color="000000" w:fill="FFFFFF"/>
            <w:vAlign w:val="center"/>
          </w:tcPr>
          <w:p w14:paraId="55AD70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要求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3BE2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660E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41" w:type="pct"/>
            <w:shd w:val="clear" w:color="000000" w:fill="FFFFFF"/>
            <w:vAlign w:val="center"/>
          </w:tcPr>
          <w:p w14:paraId="6601C1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含税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单价</w:t>
            </w:r>
          </w:p>
          <w:p w14:paraId="6F827B6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（元）</w:t>
            </w:r>
          </w:p>
        </w:tc>
        <w:tc>
          <w:tcPr>
            <w:tcW w:w="650" w:type="pct"/>
            <w:shd w:val="clear" w:color="000000" w:fill="FFFFFF"/>
            <w:vAlign w:val="center"/>
          </w:tcPr>
          <w:p w14:paraId="6A2420CA">
            <w:pPr>
              <w:widowControl/>
              <w:jc w:val="center"/>
              <w:rPr>
                <w:rFonts w:hint="eastAsia" w:ascii="Calibri" w:hAnsi="Calibri" w:eastAsia="宋体" w:cs="Times New Roman"/>
                <w:sz w:val="16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含税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计</w:t>
            </w:r>
          </w:p>
          <w:p w14:paraId="019214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（元）</w:t>
            </w:r>
          </w:p>
        </w:tc>
        <w:tc>
          <w:tcPr>
            <w:tcW w:w="589" w:type="pct"/>
            <w:shd w:val="clear" w:color="000000" w:fill="FFFFFF"/>
            <w:vAlign w:val="center"/>
          </w:tcPr>
          <w:p w14:paraId="7BC5DB4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50C4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0F5B81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DEE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隔墙</w:t>
            </w:r>
          </w:p>
        </w:tc>
        <w:tc>
          <w:tcPr>
            <w:tcW w:w="1437" w:type="pct"/>
            <w:shd w:val="clear" w:color="000000" w:fill="FFFFFF"/>
            <w:vAlign w:val="center"/>
          </w:tcPr>
          <w:p w14:paraId="46C0D306">
            <w:pP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轻钢龙骨骨架，内嵌岩棉，双面阻燃胶合板+耐火石膏板，腻子粉填缝，面积约81m²，含主梁加固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7A71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25E0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4C70B49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717C3F1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0304E08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</w:p>
        </w:tc>
      </w:tr>
      <w:tr w14:paraId="1C2AB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02A3E0A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5A0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墙面批灰</w:t>
            </w:r>
          </w:p>
        </w:tc>
        <w:tc>
          <w:tcPr>
            <w:tcW w:w="1437" w:type="pct"/>
            <w:shd w:val="clear" w:color="000000" w:fill="FFFFFF"/>
            <w:vAlign w:val="center"/>
          </w:tcPr>
          <w:p w14:paraId="2FA4F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腻子粉一底一面，批灰。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7236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5F02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641D11A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4F26DD9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16A29B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</w:p>
        </w:tc>
      </w:tr>
      <w:tr w14:paraId="6531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2A121B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62F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防火门及安装</w:t>
            </w:r>
          </w:p>
        </w:tc>
        <w:tc>
          <w:tcPr>
            <w:tcW w:w="1437" w:type="pct"/>
            <w:shd w:val="clear" w:color="000000" w:fill="FFFFFF"/>
            <w:vAlign w:val="center"/>
          </w:tcPr>
          <w:p w14:paraId="0C5E3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高2400*宽1500，含安装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0608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586B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603A31A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71349E1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5153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5C14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333FB1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882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防火地板革铺设</w:t>
            </w:r>
          </w:p>
        </w:tc>
        <w:tc>
          <w:tcPr>
            <w:tcW w:w="1437" w:type="pct"/>
            <w:shd w:val="clear" w:color="000000" w:fill="FFFFFF"/>
            <w:noWrap/>
            <w:vAlign w:val="center"/>
          </w:tcPr>
          <w:p w14:paraId="1DDC5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浅灰色；面积为6m*12m；铺设前对电缆沟盖板凸起部位进行打磨找平；含铺设。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6108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381A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6BD2788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3132FD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097E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10D1D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472EB3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32EF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操作台</w:t>
            </w:r>
          </w:p>
        </w:tc>
        <w:tc>
          <w:tcPr>
            <w:tcW w:w="1437" w:type="pct"/>
            <w:shd w:val="clear" w:color="auto" w:fill="auto"/>
            <w:noWrap/>
            <w:vAlign w:val="center"/>
          </w:tcPr>
          <w:p w14:paraId="4B4DB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长3m*高0.75m*宽0.9m，用于放置中控电脑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3D7A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1CDD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37A4D73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57873E3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38A6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0C2E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000000" w:fill="FFFFFF"/>
            <w:noWrap/>
            <w:vAlign w:val="center"/>
          </w:tcPr>
          <w:p w14:paraId="27FD55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2C7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照明及线路敷设</w:t>
            </w:r>
          </w:p>
        </w:tc>
        <w:tc>
          <w:tcPr>
            <w:tcW w:w="1437" w:type="pct"/>
            <w:shd w:val="clear" w:color="auto" w:fill="auto"/>
            <w:noWrap/>
            <w:vAlign w:val="center"/>
          </w:tcPr>
          <w:p w14:paraId="2EBA5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含安装铺设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79ED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6419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70A86E1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3955535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46C8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77B3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auto" w:fill="auto"/>
            <w:noWrap/>
            <w:vAlign w:val="center"/>
          </w:tcPr>
          <w:p w14:paraId="175C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F11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光纤通讯</w:t>
            </w:r>
          </w:p>
        </w:tc>
        <w:tc>
          <w:tcPr>
            <w:tcW w:w="1437" w:type="pct"/>
            <w:shd w:val="clear" w:color="auto" w:fill="auto"/>
            <w:noWrap/>
            <w:vAlign w:val="center"/>
          </w:tcPr>
          <w:p w14:paraId="421BC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含光纤、光纤收发器，由供应商评估确认数量及实施安装铺设服务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3F2F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5689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703235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0C3A4BE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4A0F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03B5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auto" w:fill="auto"/>
            <w:noWrap/>
            <w:vAlign w:val="center"/>
          </w:tcPr>
          <w:p w14:paraId="41F7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28A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基它辅助材及其他费用</w:t>
            </w:r>
          </w:p>
        </w:tc>
        <w:tc>
          <w:tcPr>
            <w:tcW w:w="1437" w:type="pct"/>
            <w:shd w:val="clear" w:color="auto" w:fill="auto"/>
            <w:noWrap/>
            <w:vAlign w:val="center"/>
          </w:tcPr>
          <w:p w14:paraId="179CF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5DF6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597C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63445B9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44CECCD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4116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7863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43" w:type="pct"/>
            <w:shd w:val="clear" w:color="auto" w:fill="auto"/>
            <w:noWrap/>
            <w:vAlign w:val="center"/>
          </w:tcPr>
          <w:p w14:paraId="0473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4AF1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原中控室办公用品搬运</w:t>
            </w:r>
          </w:p>
        </w:tc>
        <w:tc>
          <w:tcPr>
            <w:tcW w:w="1437" w:type="pct"/>
            <w:shd w:val="clear" w:color="auto" w:fill="auto"/>
            <w:noWrap/>
            <w:vAlign w:val="center"/>
          </w:tcPr>
          <w:p w14:paraId="735AB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将原二楼中控室办公桌椅、文件柜、物资柜等搬运至新中控室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14:paraId="0C83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 w14:paraId="0DEF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shd w:val="clear" w:color="000000" w:fill="FFFFFF"/>
            <w:noWrap/>
            <w:vAlign w:val="center"/>
          </w:tcPr>
          <w:p w14:paraId="328AF4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2C0C0E7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3E41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/>
              </w:rPr>
            </w:pPr>
          </w:p>
        </w:tc>
      </w:tr>
      <w:tr w14:paraId="7BD3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760" w:type="pct"/>
            <w:gridSpan w:val="6"/>
            <w:shd w:val="clear" w:color="000000" w:fill="FFFFFF"/>
            <w:noWrap/>
            <w:vAlign w:val="center"/>
          </w:tcPr>
          <w:p w14:paraId="58E374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总价</w:t>
            </w:r>
          </w:p>
        </w:tc>
        <w:tc>
          <w:tcPr>
            <w:tcW w:w="650" w:type="pct"/>
            <w:shd w:val="clear" w:color="000000" w:fill="FFFFFF"/>
            <w:noWrap/>
            <w:vAlign w:val="center"/>
          </w:tcPr>
          <w:p w14:paraId="56C187A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14:paraId="429C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4802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000" w:type="pct"/>
            <w:gridSpan w:val="8"/>
            <w:shd w:val="clear" w:color="000000" w:fill="FFFFFF"/>
            <w:noWrap/>
            <w:vAlign w:val="top"/>
          </w:tcPr>
          <w:p w14:paraId="776064AA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注：</w:t>
            </w:r>
          </w:p>
          <w:p w14:paraId="179F1B0B">
            <w:pPr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default" w:ascii="Calibri" w:hAnsi="Calibri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以上报价含税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%，报价有效期为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天；</w:t>
            </w:r>
          </w:p>
          <w:p w14:paraId="0B0B5BCD">
            <w:pPr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质保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年；</w:t>
            </w:r>
          </w:p>
          <w:p w14:paraId="57306951">
            <w:pPr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shd w:val="clear"/>
                <w:lang w:val="en-US" w:eastAsia="zh-CN" w:bidi="ar-SA"/>
              </w:rPr>
              <w:t>服务期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天。</w:t>
            </w:r>
          </w:p>
        </w:tc>
      </w:tr>
      <w:tr w14:paraId="665F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000" w:type="pct"/>
            <w:gridSpan w:val="8"/>
            <w:shd w:val="clear" w:color="000000" w:fill="FFFFFF"/>
            <w:noWrap/>
            <w:vAlign w:val="top"/>
          </w:tcPr>
          <w:p w14:paraId="27C805FA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一、上述参数规格仅供参考，报价前需现场实地进行勘察，详细技术方案及要求以甲方实际为准。</w:t>
            </w:r>
          </w:p>
          <w:p w14:paraId="6B61D735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/>
                <w:lang w:val="en-US" w:eastAsia="zh-CN"/>
              </w:rPr>
              <w:t>报价人需按采购清单进行报价，本项目采购数量仅为预计数量，且本项目不承诺保底采购量，根据项目实际需求执行。在实施过程中，若因上游单位（业主方）需求调整导致实际服务数量较合同清单数量有减少的，不予支付对应分项费用，合同结算金额据实核减（整项未实施的条目，不计入结算且不予支付；同一清单条目内仅部分未实施的，按合同清单对应单价据实扣减。）</w:t>
            </w:r>
          </w:p>
          <w:p w14:paraId="1FFCC8D1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  <w:shd w:val="clear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价需充分考虑完成本项目的全部相关费用：</w:t>
            </w:r>
          </w:p>
          <w:p w14:paraId="06A1F51E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1.含完成本事项所需的一切辅材；</w:t>
            </w:r>
          </w:p>
          <w:p w14:paraId="72420862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2.搬迁改造服务过程中涉及路面破坏等，乙方需复原；</w:t>
            </w:r>
          </w:p>
          <w:p w14:paraId="4F2CC72E">
            <w:pPr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shd w:val="clear" w:fill="FFFF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/>
                <w:lang w:val="en-US" w:eastAsia="zh-CN" w:bidi="ar"/>
              </w:rPr>
              <w:t>3.搬迁改造服务中产生的一切废弃物，乙方需负责清运。</w:t>
            </w:r>
          </w:p>
        </w:tc>
      </w:tr>
    </w:tbl>
    <w:p w14:paraId="75B1A784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73C8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after="100" w:afterAutospacing="1" w:line="240" w:lineRule="auto"/>
        <w:jc w:val="left"/>
        <w:textAlignment w:val="auto"/>
        <w:outlineLvl w:val="0"/>
        <w:rPr>
          <w:rFonts w:hint="eastAsia" w:eastAsia="黑体" w:cs="Times New Roman"/>
          <w:sz w:val="15"/>
          <w:szCs w:val="16"/>
          <w:lang w:val="en-US" w:eastAsia="zh-CN"/>
        </w:rPr>
      </w:pPr>
      <w:r>
        <w:rPr>
          <w:rFonts w:hint="eastAsia" w:ascii="黑体" w:hAnsi="宋体" w:eastAsia="黑体" w:cs="宋体"/>
          <w:bCs/>
          <w:kern w:val="36"/>
          <w:sz w:val="22"/>
          <w:szCs w:val="28"/>
        </w:rPr>
        <w:t>附件</w:t>
      </w:r>
      <w:r>
        <w:rPr>
          <w:rFonts w:hint="eastAsia" w:ascii="黑体" w:hAnsi="宋体" w:eastAsia="黑体" w:cs="宋体"/>
          <w:bCs/>
          <w:kern w:val="36"/>
          <w:sz w:val="22"/>
          <w:szCs w:val="28"/>
          <w:lang w:val="en-US" w:eastAsia="zh-CN"/>
        </w:rPr>
        <w:t>3</w:t>
      </w:r>
    </w:p>
    <w:p w14:paraId="1E9CF6CD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承诺函</w:t>
      </w:r>
    </w:p>
    <w:p w14:paraId="6D362763">
      <w:pPr>
        <w:spacing w:line="560" w:lineRule="exact"/>
        <w:rPr>
          <w:rFonts w:hint="eastAsia" w:ascii="宋体" w:hAnsi="宋体" w:eastAsia="宋体" w:cs="宋体"/>
          <w:sz w:val="21"/>
          <w:szCs w:val="21"/>
          <w:u w:val="single"/>
        </w:rPr>
      </w:pPr>
    </w:p>
    <w:p w14:paraId="5F9C12D1"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***</w:t>
      </w:r>
      <w:r>
        <w:rPr>
          <w:rFonts w:hint="eastAsia" w:ascii="宋体" w:hAnsi="宋体" w:eastAsia="宋体" w:cs="宋体"/>
          <w:sz w:val="21"/>
          <w:szCs w:val="21"/>
        </w:rPr>
        <w:t>（身份证号码：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*******</w:t>
      </w:r>
      <w:r>
        <w:rPr>
          <w:rFonts w:hint="eastAsia" w:ascii="宋体" w:hAnsi="宋体" w:eastAsia="宋体" w:cs="宋体"/>
          <w:sz w:val="21"/>
          <w:szCs w:val="21"/>
        </w:rPr>
        <w:t>）代表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******</w:t>
      </w:r>
      <w:r>
        <w:rPr>
          <w:rFonts w:hint="eastAsia" w:ascii="宋体" w:hAnsi="宋体" w:eastAsia="宋体" w:cs="宋体"/>
          <w:sz w:val="21"/>
          <w:szCs w:val="21"/>
          <w:u w:val="single"/>
        </w:rPr>
        <w:t>有限公司</w:t>
      </w:r>
      <w:r>
        <w:rPr>
          <w:rFonts w:hint="eastAsia" w:ascii="宋体" w:hAnsi="宋体" w:eastAsia="宋体" w:cs="宋体"/>
          <w:sz w:val="21"/>
          <w:szCs w:val="21"/>
        </w:rPr>
        <w:t>参加</w:t>
      </w:r>
      <w:r>
        <w:rPr>
          <w:rFonts w:hint="eastAsia" w:ascii="宋体" w:hAnsi="宋体" w:eastAsia="宋体" w:cs="宋体"/>
          <w:b w:val="0"/>
          <w:bCs w:val="0"/>
          <w:kern w:val="0"/>
          <w:szCs w:val="21"/>
          <w:u w:val="single"/>
          <w:lang w:val="en-US" w:eastAsia="zh-CN"/>
        </w:rPr>
        <w:t>固戍二期污泥项目中控室搬迁改造服务采购项目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报价</w:t>
      </w:r>
      <w:r>
        <w:rPr>
          <w:rFonts w:hint="eastAsia" w:ascii="宋体" w:hAnsi="宋体" w:eastAsia="宋体" w:cs="宋体"/>
          <w:sz w:val="21"/>
          <w:szCs w:val="21"/>
        </w:rPr>
        <w:t>。在此，本单位郑重承诺，本单位与本项目其他报价方不存在负责人为同一人、股权关系、董监高关系或其他可能影响采购活动公平、公正进行的关系。</w:t>
      </w:r>
    </w:p>
    <w:p w14:paraId="5DD36E62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***</w:t>
      </w:r>
      <w:r>
        <w:rPr>
          <w:rFonts w:hint="eastAsia" w:ascii="宋体" w:hAnsi="宋体" w:eastAsia="宋体" w:cs="宋体"/>
          <w:sz w:val="21"/>
          <w:szCs w:val="21"/>
          <w:u w:val="single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已核实上述承诺内容。如承诺不属实，</w:t>
      </w:r>
      <w:r>
        <w:rPr>
          <w:rFonts w:hint="eastAsia" w:ascii="宋体" w:hAnsi="宋体" w:eastAsia="宋体" w:cs="宋体"/>
          <w:sz w:val="21"/>
          <w:szCs w:val="21"/>
          <w:u w:val="single"/>
        </w:rPr>
        <w:t>XX公司</w:t>
      </w:r>
      <w:r>
        <w:rPr>
          <w:rFonts w:hint="eastAsia" w:ascii="宋体" w:hAnsi="宋体" w:eastAsia="宋体" w:cs="宋体"/>
          <w:sz w:val="21"/>
          <w:szCs w:val="21"/>
        </w:rPr>
        <w:t>愿意无条件接受：</w:t>
      </w:r>
    </w:p>
    <w:p w14:paraId="7A7D00A2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1.宣布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****</w:t>
      </w:r>
      <w:r>
        <w:rPr>
          <w:rFonts w:hint="eastAsia" w:ascii="宋体" w:hAnsi="宋体" w:eastAsia="宋体" w:cs="宋体"/>
          <w:sz w:val="21"/>
          <w:szCs w:val="21"/>
          <w:u w:val="single"/>
        </w:rPr>
        <w:t>公司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报价无效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2835A33D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2.取消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**</w:t>
      </w:r>
      <w:r>
        <w:rPr>
          <w:rFonts w:hint="eastAsia" w:ascii="宋体" w:hAnsi="宋体" w:eastAsia="宋体" w:cs="宋体"/>
          <w:sz w:val="21"/>
          <w:szCs w:val="21"/>
          <w:u w:val="single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的中标资格。</w:t>
      </w:r>
    </w:p>
    <w:p w14:paraId="772AF41D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3.列入投标黑名单。</w:t>
      </w:r>
    </w:p>
    <w:p w14:paraId="1D0C5CEC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特此承诺。</w:t>
      </w:r>
    </w:p>
    <w:p w14:paraId="494BB894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 w14:paraId="10732377">
      <w:pPr>
        <w:spacing w:line="5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9"/>
        <w:tblW w:w="737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5"/>
        <w:gridCol w:w="3532"/>
      </w:tblGrid>
      <w:tr w14:paraId="005C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06715119">
            <w:pPr>
              <w:spacing w:line="560" w:lineRule="exact"/>
              <w:jc w:val="distribute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人</w:t>
            </w:r>
            <w:r>
              <w:rPr>
                <w:rFonts w:hint="eastAsia" w:cs="宋体"/>
                <w:spacing w:val="-34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盖章</w:t>
            </w:r>
            <w:r>
              <w:rPr>
                <w:rFonts w:hint="eastAsia" w:cs="宋体"/>
                <w:spacing w:val="-34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:</w:t>
            </w:r>
          </w:p>
        </w:tc>
        <w:tc>
          <w:tcPr>
            <w:tcW w:w="35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A077450">
            <w:pPr>
              <w:spacing w:line="560" w:lineRule="exact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</w:p>
        </w:tc>
      </w:tr>
      <w:tr w14:paraId="5C01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037EDCBF">
            <w:pPr>
              <w:spacing w:line="560" w:lineRule="exact"/>
              <w:jc w:val="distribute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法定或授权代表人</w:t>
            </w:r>
            <w:r>
              <w:rPr>
                <w:rFonts w:hint="eastAsia" w:cs="宋体"/>
                <w:spacing w:val="-34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签字/盖章</w:t>
            </w:r>
            <w:r>
              <w:rPr>
                <w:rFonts w:hint="eastAsia" w:cs="宋体"/>
                <w:spacing w:val="-34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: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4F07B4">
            <w:pPr>
              <w:spacing w:line="560" w:lineRule="exact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</w:p>
        </w:tc>
      </w:tr>
      <w:tr w14:paraId="630C4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64C3052B">
            <w:pPr>
              <w:spacing w:line="560" w:lineRule="exact"/>
              <w:jc w:val="distribute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出具日期</w:t>
            </w:r>
            <w:r>
              <w:rPr>
                <w:rFonts w:hint="eastAsia" w:cs="宋体"/>
                <w:spacing w:val="-34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A213617">
            <w:pPr>
              <w:spacing w:line="560" w:lineRule="exact"/>
              <w:jc w:val="right"/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-34"/>
                <w:sz w:val="21"/>
                <w:szCs w:val="21"/>
              </w:rPr>
              <w:t>日</w:t>
            </w:r>
          </w:p>
        </w:tc>
      </w:tr>
    </w:tbl>
    <w:p w14:paraId="3379DE0C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F988C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after="100" w:afterAutospacing="1" w:line="240" w:lineRule="auto"/>
        <w:jc w:val="left"/>
        <w:textAlignment w:val="auto"/>
        <w:outlineLvl w:val="0"/>
        <w:rPr>
          <w:rFonts w:hint="default" w:ascii="黑体" w:hAnsi="宋体" w:eastAsia="黑体" w:cs="宋体"/>
          <w:bCs/>
          <w:kern w:val="36"/>
          <w:sz w:val="22"/>
          <w:szCs w:val="28"/>
          <w:lang w:val="en-US" w:eastAsia="zh-CN"/>
        </w:rPr>
      </w:pPr>
      <w:r>
        <w:rPr>
          <w:rFonts w:hint="eastAsia" w:ascii="黑体" w:hAnsi="宋体" w:eastAsia="黑体" w:cs="宋体"/>
          <w:bCs/>
          <w:kern w:val="36"/>
          <w:sz w:val="22"/>
          <w:szCs w:val="28"/>
          <w:lang w:val="en-US" w:eastAsia="zh-CN"/>
        </w:rPr>
        <w:t xml:space="preserve">附件4 </w:t>
      </w:r>
      <w:r>
        <w:rPr>
          <w:rFonts w:hint="eastAsia" w:ascii="黑体" w:hAnsi="宋体" w:eastAsia="黑体" w:cs="宋体"/>
          <w:bCs/>
          <w:kern w:val="36"/>
          <w:sz w:val="22"/>
          <w:szCs w:val="28"/>
        </w:rPr>
        <w:t>营业执照</w:t>
      </w:r>
      <w:r>
        <w:rPr>
          <w:rFonts w:hint="eastAsia" w:ascii="黑体" w:hAnsi="宋体" w:eastAsia="黑体" w:cs="宋体"/>
          <w:bCs/>
          <w:kern w:val="36"/>
          <w:sz w:val="22"/>
          <w:szCs w:val="28"/>
          <w:lang w:eastAsia="zh-CN"/>
        </w:rPr>
        <w:t>（</w:t>
      </w:r>
      <w:r>
        <w:rPr>
          <w:rFonts w:hint="eastAsia" w:ascii="黑体" w:hAnsi="宋体" w:eastAsia="黑体" w:cs="宋体"/>
          <w:bCs/>
          <w:kern w:val="36"/>
          <w:sz w:val="22"/>
          <w:szCs w:val="28"/>
        </w:rPr>
        <w:t>扫描件</w:t>
      </w:r>
      <w:r>
        <w:rPr>
          <w:rFonts w:hint="eastAsia" w:ascii="黑体" w:hAnsi="宋体" w:eastAsia="黑体" w:cs="宋体"/>
          <w:bCs/>
          <w:kern w:val="36"/>
          <w:sz w:val="22"/>
          <w:szCs w:val="28"/>
          <w:lang w:val="en-US" w:eastAsia="zh-CN"/>
        </w:rPr>
        <w:t>或复印件）</w:t>
      </w:r>
    </w:p>
    <w:p w14:paraId="2C43362E">
      <w:pPr>
        <w:rPr>
          <w:b w:val="0"/>
          <w:bCs w:val="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E390F">
    <w:pPr>
      <w:widowControl w:val="0"/>
      <w:tabs>
        <w:tab w:val="center" w:pos="4153"/>
        <w:tab w:val="right" w:pos="8306"/>
      </w:tabs>
      <w:snapToGrid w:val="0"/>
      <w:ind w:firstLine="36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instrText xml:space="preserve">PAGE   \* MERGEFORMAT</w:instrText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t>2</w:t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084D9B9E">
    <w:pPr>
      <w:widowControl w:val="0"/>
      <w:tabs>
        <w:tab w:val="center" w:pos="4536"/>
      </w:tabs>
      <w:snapToGrid w:val="0"/>
      <w:ind w:firstLine="0" w:firstLineChars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C1B48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spacing w:line="480" w:lineRule="auto"/>
      <w:ind w:firstLine="0" w:firstLineChars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5C48C"/>
    <w:multiLevelType w:val="singleLevel"/>
    <w:tmpl w:val="DA55C4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D222AB4"/>
    <w:multiLevelType w:val="singleLevel"/>
    <w:tmpl w:val="0D222AB4"/>
    <w:lvl w:ilvl="0" w:tentative="0">
      <w:start w:val="1"/>
      <w:numFmt w:val="chineseCounting"/>
      <w:pStyle w:val="13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07DA"/>
    <w:rsid w:val="06BD54F2"/>
    <w:rsid w:val="076B2D7D"/>
    <w:rsid w:val="07A46FDA"/>
    <w:rsid w:val="09A13698"/>
    <w:rsid w:val="09CF2F2B"/>
    <w:rsid w:val="0B08025B"/>
    <w:rsid w:val="0B3F1F71"/>
    <w:rsid w:val="10FF3D12"/>
    <w:rsid w:val="145C5CF8"/>
    <w:rsid w:val="18643A63"/>
    <w:rsid w:val="1C446DFD"/>
    <w:rsid w:val="1F196ABA"/>
    <w:rsid w:val="241C2BB9"/>
    <w:rsid w:val="2A9E274E"/>
    <w:rsid w:val="2D04743D"/>
    <w:rsid w:val="2D215851"/>
    <w:rsid w:val="2EF37405"/>
    <w:rsid w:val="31033BF2"/>
    <w:rsid w:val="321C1047"/>
    <w:rsid w:val="324A30FE"/>
    <w:rsid w:val="32E52C05"/>
    <w:rsid w:val="39762DF9"/>
    <w:rsid w:val="3DF00289"/>
    <w:rsid w:val="3F855E54"/>
    <w:rsid w:val="40611451"/>
    <w:rsid w:val="429A200E"/>
    <w:rsid w:val="4875046F"/>
    <w:rsid w:val="4A523C1F"/>
    <w:rsid w:val="4A6D4FD5"/>
    <w:rsid w:val="4C506274"/>
    <w:rsid w:val="52734543"/>
    <w:rsid w:val="54957A29"/>
    <w:rsid w:val="54E80197"/>
    <w:rsid w:val="59A4213C"/>
    <w:rsid w:val="5B214EC8"/>
    <w:rsid w:val="5EAE628D"/>
    <w:rsid w:val="5F685614"/>
    <w:rsid w:val="601E3972"/>
    <w:rsid w:val="60FC298B"/>
    <w:rsid w:val="616E7E97"/>
    <w:rsid w:val="67806664"/>
    <w:rsid w:val="67EC408F"/>
    <w:rsid w:val="6C142462"/>
    <w:rsid w:val="6F9957DB"/>
    <w:rsid w:val="74B61E77"/>
    <w:rsid w:val="75B62F71"/>
    <w:rsid w:val="7CAB1F62"/>
    <w:rsid w:val="7FB9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widowControl w:val="0"/>
      <w:spacing w:before="260" w:after="260" w:line="415" w:lineRule="auto"/>
      <w:jc w:val="both"/>
      <w:outlineLvl w:val="1"/>
    </w:pPr>
    <w:rPr>
      <w:rFonts w:ascii="Calibri Light" w:hAnsi="Calibri Light" w:eastAsia="等线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tabs>
        <w:tab w:val="left" w:pos="562"/>
        <w:tab w:val="left" w:pos="3372"/>
        <w:tab w:val="left" w:pos="3653"/>
      </w:tabs>
      <w:ind w:firstLine="420" w:firstLineChars="100"/>
      <w:jc w:val="both"/>
    </w:pPr>
    <w:rPr>
      <w:rFonts w:ascii="等线" w:hAnsi="等线" w:eastAsia="等线" w:cs="Times New Roman"/>
      <w:kern w:val="2"/>
      <w:sz w:val="24"/>
      <w:szCs w:val="22"/>
      <w:lang w:val="en-US" w:eastAsia="zh-CN" w:bidi="ar-SA"/>
    </w:rPr>
  </w:style>
  <w:style w:type="paragraph" w:styleId="5">
    <w:name w:val="Body Text"/>
    <w:qFormat/>
    <w:uiPriority w:val="0"/>
    <w:pPr>
      <w:widowControl w:val="0"/>
      <w:tabs>
        <w:tab w:val="left" w:pos="562"/>
        <w:tab w:val="left" w:pos="3372"/>
        <w:tab w:val="left" w:pos="3653"/>
      </w:tabs>
      <w:jc w:val="both"/>
    </w:pPr>
    <w:rPr>
      <w:rFonts w:ascii="等线" w:hAnsi="等线" w:eastAsia="等线" w:cs="Times New Roman"/>
      <w:kern w:val="2"/>
      <w:sz w:val="24"/>
      <w:szCs w:val="22"/>
      <w:lang w:val="en-US" w:eastAsia="zh-CN" w:bidi="ar-SA"/>
    </w:rPr>
  </w:style>
  <w:style w:type="paragraph" w:styleId="6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7">
    <w:name w:val="Normal (Web)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8">
    <w:name w:val="Body Text First Indent 2"/>
    <w:qFormat/>
    <w:uiPriority w:val="0"/>
    <w:pPr>
      <w:widowControl w:val="0"/>
      <w:adjustRightInd w:val="0"/>
      <w:spacing w:after="120" w:line="312" w:lineRule="atLeast"/>
      <w:ind w:left="420" w:leftChars="200" w:firstLine="420" w:firstLineChars="200"/>
      <w:jc w:val="both"/>
      <w:textAlignment w:val="baseline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table" w:styleId="10">
    <w:name w:val="Table Grid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</w:rPr>
  </w:style>
  <w:style w:type="paragraph" w:customStyle="1" w:styleId="13">
    <w:name w:val="12.09"/>
    <w:basedOn w:val="1"/>
    <w:qFormat/>
    <w:uiPriority w:val="0"/>
    <w:pPr>
      <w:widowControl/>
      <w:numPr>
        <w:ilvl w:val="0"/>
        <w:numId w:val="1"/>
      </w:numPr>
      <w:kinsoku w:val="0"/>
      <w:autoSpaceDE w:val="0"/>
      <w:autoSpaceDN w:val="0"/>
      <w:adjustRightInd w:val="0"/>
      <w:snapToGrid w:val="0"/>
      <w:spacing w:before="266" w:line="222" w:lineRule="auto"/>
      <w:ind w:left="14" w:hanging="14" w:hangingChars="5"/>
      <w:jc w:val="left"/>
      <w:textAlignment w:val="baseline"/>
    </w:pPr>
    <w:rPr>
      <w:rFonts w:ascii="仿宋" w:hAnsi="仿宋" w:eastAsia="仿宋" w:cs="仿宋"/>
      <w:b/>
      <w:snapToGrid w:val="0"/>
      <w:color w:val="000000"/>
      <w:spacing w:val="-3"/>
      <w:kern w:val="0"/>
      <w:sz w:val="30"/>
      <w:szCs w:val="30"/>
      <w:lang w:eastAsia="en-US"/>
    </w:rPr>
  </w:style>
  <w:style w:type="paragraph" w:styleId="14">
    <w:name w:val="List Paragraph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15">
    <w:name w:val="Table Grid_0"/>
    <w:qFormat/>
    <w:uiPriority w:val="0"/>
    <w:pPr>
      <w:widowControl w:val="0"/>
      <w:spacing w:after="160" w:line="259" w:lineRule="auto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446</Words>
  <Characters>490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2025-12-09T10:33:00Z</dcterms:created>
  <dc:creator>Administrator</dc:creator>
  <cp:lastModifiedBy>Administrator</cp:lastModifiedBy>
  <dcterms:modified xsi:type="dcterms:W3CDTF">2026-10-15T01:45:53Z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DB49170DFD0E4F0FA33F96B1F78296DF_13</vt:lpwstr>
  </property>
  <property fmtid="{D5CDD505-2E9C-101B-9397-08002B2CF9AE}" pid="4" name="KSOTemplateDocerSaveRecord">
    <vt:lpwstr>eyJoZGlkIjoiMzA0ZTdkMzkxNjAyOTFhOWFiZmE4YjdlYWQ3NDA3M2MiLCJ1c2VySWQiOiI3MzM5ODQ4MTUifQ==</vt:lpwstr>
  </property>
</Properties>
</file>